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0B82" w14:textId="389A0512" w:rsidR="00832E26" w:rsidRPr="00D14109" w:rsidRDefault="00EF3A19" w:rsidP="00832E26">
      <w:pPr>
        <w:spacing w:after="160" w:line="360" w:lineRule="auto"/>
        <w:jc w:val="both"/>
        <w:rPr>
          <w:rFonts w:eastAsia="Calibri"/>
          <w:lang w:val="de-DE" w:eastAsia="en-US"/>
        </w:rPr>
      </w:pPr>
      <w:proofErr w:type="spellStart"/>
      <w:r w:rsidRPr="00D14109">
        <w:rPr>
          <w:rFonts w:eastAsia="Calibri"/>
          <w:lang w:val="de-DE" w:eastAsia="en-US"/>
        </w:rPr>
        <w:t>Supplementary</w:t>
      </w:r>
      <w:proofErr w:type="spellEnd"/>
      <w:r w:rsidRPr="00D14109">
        <w:rPr>
          <w:rFonts w:eastAsia="Calibri"/>
          <w:lang w:val="de-DE" w:eastAsia="en-US"/>
        </w:rPr>
        <w:t xml:space="preserve"> Table S4. </w:t>
      </w:r>
      <w:proofErr w:type="spellStart"/>
      <w:r w:rsidRPr="00D14109">
        <w:rPr>
          <w:rFonts w:eastAsia="Calibri"/>
          <w:lang w:val="de-DE" w:eastAsia="en-US"/>
        </w:rPr>
        <w:t>Comparison</w:t>
      </w:r>
      <w:proofErr w:type="spellEnd"/>
      <w:r w:rsidRPr="00D14109">
        <w:rPr>
          <w:rFonts w:eastAsia="Calibri"/>
          <w:lang w:val="de-DE" w:eastAsia="en-US"/>
        </w:rPr>
        <w:t xml:space="preserve"> </w:t>
      </w:r>
      <w:proofErr w:type="spellStart"/>
      <w:r w:rsidRPr="00D14109">
        <w:rPr>
          <w:rFonts w:eastAsia="Calibri"/>
          <w:lang w:val="de-DE" w:eastAsia="en-US"/>
        </w:rPr>
        <w:t>of</w:t>
      </w:r>
      <w:proofErr w:type="spellEnd"/>
      <w:r w:rsidRPr="00D14109">
        <w:rPr>
          <w:rFonts w:eastAsia="Calibri"/>
          <w:lang w:val="de-DE" w:eastAsia="en-US"/>
        </w:rPr>
        <w:t xml:space="preserve"> </w:t>
      </w:r>
      <w:proofErr w:type="spellStart"/>
      <w:r w:rsidRPr="00D14109">
        <w:rPr>
          <w:rFonts w:eastAsia="Calibri"/>
          <w:lang w:val="de-DE" w:eastAsia="en-US"/>
        </w:rPr>
        <w:t>the</w:t>
      </w:r>
      <w:proofErr w:type="spellEnd"/>
      <w:r w:rsidRPr="00D14109">
        <w:rPr>
          <w:rFonts w:eastAsia="Calibri"/>
          <w:lang w:val="de-DE" w:eastAsia="en-US"/>
        </w:rPr>
        <w:t xml:space="preserve"> </w:t>
      </w:r>
      <w:proofErr w:type="spellStart"/>
      <w:r w:rsidRPr="00D14109">
        <w:rPr>
          <w:rFonts w:eastAsia="Calibri"/>
          <w:lang w:val="de-DE" w:eastAsia="en-US"/>
        </w:rPr>
        <w:t>sphere</w:t>
      </w:r>
      <w:proofErr w:type="spellEnd"/>
      <w:r w:rsidRPr="00D14109">
        <w:rPr>
          <w:rFonts w:eastAsia="Calibri"/>
          <w:lang w:val="de-DE" w:eastAsia="en-US"/>
        </w:rPr>
        <w:t xml:space="preserve"> </w:t>
      </w:r>
      <w:proofErr w:type="spellStart"/>
      <w:r w:rsidRPr="00D14109">
        <w:rPr>
          <w:rFonts w:eastAsia="Calibri"/>
          <w:lang w:val="de-DE" w:eastAsia="en-US"/>
        </w:rPr>
        <w:t>forming</w:t>
      </w:r>
      <w:proofErr w:type="spellEnd"/>
      <w:r w:rsidRPr="00D14109">
        <w:rPr>
          <w:rFonts w:eastAsia="Calibri"/>
          <w:lang w:val="de-DE" w:eastAsia="en-US"/>
        </w:rPr>
        <w:t xml:space="preserve"> </w:t>
      </w:r>
      <w:proofErr w:type="spellStart"/>
      <w:r w:rsidRPr="00D14109">
        <w:rPr>
          <w:rFonts w:eastAsia="Calibri"/>
          <w:lang w:val="de-DE" w:eastAsia="en-US"/>
        </w:rPr>
        <w:t>ability</w:t>
      </w:r>
      <w:proofErr w:type="spellEnd"/>
      <w:r w:rsidRPr="00D14109">
        <w:rPr>
          <w:rFonts w:eastAsia="Calibri"/>
          <w:lang w:val="de-DE" w:eastAsia="en-US"/>
        </w:rPr>
        <w:t xml:space="preserve"> </w:t>
      </w:r>
      <w:proofErr w:type="spellStart"/>
      <w:r w:rsidRPr="00D14109">
        <w:rPr>
          <w:rFonts w:eastAsia="Calibri"/>
          <w:lang w:val="de-DE" w:eastAsia="en-US"/>
        </w:rPr>
        <w:t>of</w:t>
      </w:r>
      <w:proofErr w:type="spellEnd"/>
      <w:r w:rsidRPr="00D14109">
        <w:rPr>
          <w:rFonts w:eastAsia="Calibri"/>
          <w:lang w:val="de-DE" w:eastAsia="en-US"/>
        </w:rPr>
        <w:t xml:space="preserve"> </w:t>
      </w:r>
      <w:proofErr w:type="spellStart"/>
      <w:r w:rsidRPr="00D14109">
        <w:rPr>
          <w:rFonts w:eastAsia="Calibri"/>
          <w:lang w:val="de-DE" w:eastAsia="en-US"/>
        </w:rPr>
        <w:t>the</w:t>
      </w:r>
      <w:proofErr w:type="spellEnd"/>
      <w:r w:rsidRPr="00D14109">
        <w:rPr>
          <w:rFonts w:eastAsia="Calibri"/>
          <w:lang w:val="de-DE" w:eastAsia="en-US"/>
        </w:rPr>
        <w:t xml:space="preserve"> </w:t>
      </w:r>
      <w:proofErr w:type="spellStart"/>
      <w:r w:rsidRPr="00D14109">
        <w:rPr>
          <w:rFonts w:eastAsia="Calibri"/>
          <w:lang w:val="de-DE" w:eastAsia="en-US"/>
        </w:rPr>
        <w:t>cells</w:t>
      </w:r>
      <w:proofErr w:type="spellEnd"/>
      <w:r w:rsidRPr="00D14109">
        <w:rPr>
          <w:rFonts w:eastAsia="Calibri"/>
          <w:lang w:val="de-DE" w:eastAsia="en-US"/>
        </w:rPr>
        <w:t>.</w:t>
      </w:r>
    </w:p>
    <w:tbl>
      <w:tblPr>
        <w:tblStyle w:val="TableGrid1"/>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2786"/>
        <w:gridCol w:w="1258"/>
        <w:gridCol w:w="990"/>
        <w:gridCol w:w="721"/>
        <w:gridCol w:w="559"/>
        <w:gridCol w:w="662"/>
        <w:gridCol w:w="721"/>
        <w:gridCol w:w="662"/>
        <w:gridCol w:w="766"/>
      </w:tblGrid>
      <w:tr w:rsidR="00D14109" w:rsidRPr="00D14109" w14:paraId="59BAC989" w14:textId="77777777" w:rsidTr="008C7B5B">
        <w:trPr>
          <w:gridAfter w:val="7"/>
          <w:wAfter w:w="5081" w:type="dxa"/>
          <w:trHeight w:val="296"/>
        </w:trPr>
        <w:tc>
          <w:tcPr>
            <w:tcW w:w="1283" w:type="dxa"/>
            <w:tcBorders>
              <w:top w:val="single" w:sz="12" w:space="0" w:color="auto"/>
              <w:bottom w:val="single" w:sz="4" w:space="0" w:color="auto"/>
            </w:tcBorders>
            <w:vAlign w:val="center"/>
          </w:tcPr>
          <w:p w14:paraId="00B0841D" w14:textId="4C2E94AD" w:rsidR="00EF3A19" w:rsidRPr="00D14109" w:rsidRDefault="00EF3A19" w:rsidP="008C7B5B">
            <w:pPr>
              <w:jc w:val="center"/>
              <w:rPr>
                <w:rFonts w:eastAsia="游明朝"/>
                <w:kern w:val="2"/>
                <w:sz w:val="18"/>
                <w:szCs w:val="18"/>
                <w:lang w:eastAsia="ja-JP"/>
              </w:rPr>
            </w:pPr>
            <w:bookmarkStart w:id="0" w:name="_Hlk76505322"/>
            <w:r w:rsidRPr="00D14109">
              <w:rPr>
                <w:rFonts w:eastAsia="游明朝"/>
                <w:kern w:val="2"/>
                <w:sz w:val="18"/>
                <w:szCs w:val="18"/>
                <w:lang w:eastAsia="ja-JP"/>
              </w:rPr>
              <w:t>References</w:t>
            </w:r>
          </w:p>
        </w:tc>
        <w:tc>
          <w:tcPr>
            <w:tcW w:w="2786" w:type="dxa"/>
            <w:tcBorders>
              <w:top w:val="single" w:sz="12" w:space="0" w:color="auto"/>
              <w:bottom w:val="single" w:sz="4" w:space="0" w:color="auto"/>
            </w:tcBorders>
            <w:vAlign w:val="center"/>
          </w:tcPr>
          <w:p w14:paraId="0EC90F3A" w14:textId="77777777" w:rsidR="00EF3A19" w:rsidRPr="00D14109" w:rsidRDefault="00EF3A19" w:rsidP="008C7B5B">
            <w:pPr>
              <w:jc w:val="center"/>
              <w:rPr>
                <w:rFonts w:eastAsia="游明朝"/>
                <w:kern w:val="2"/>
                <w:sz w:val="18"/>
                <w:szCs w:val="18"/>
                <w:lang w:eastAsia="ja-JP"/>
              </w:rPr>
            </w:pPr>
            <w:proofErr w:type="spellStart"/>
            <w:r w:rsidRPr="00D14109">
              <w:rPr>
                <w:rFonts w:eastAsia="Calibri"/>
                <w:sz w:val="18"/>
                <w:szCs w:val="18"/>
                <w:lang w:val="de-DE" w:eastAsia="en-US"/>
              </w:rPr>
              <w:t>Cell</w:t>
            </w:r>
            <w:proofErr w:type="spellEnd"/>
            <w:r w:rsidRPr="00D14109">
              <w:rPr>
                <w:rFonts w:eastAsia="Calibri"/>
                <w:sz w:val="18"/>
                <w:szCs w:val="18"/>
                <w:lang w:val="de-DE" w:eastAsia="en-US"/>
              </w:rPr>
              <w:t xml:space="preserve"> type</w:t>
            </w:r>
          </w:p>
        </w:tc>
        <w:tc>
          <w:tcPr>
            <w:tcW w:w="1258" w:type="dxa"/>
            <w:tcBorders>
              <w:top w:val="single" w:sz="12" w:space="0" w:color="auto"/>
              <w:bottom w:val="single" w:sz="4" w:space="0" w:color="auto"/>
            </w:tcBorders>
          </w:tcPr>
          <w:p w14:paraId="5259CA82"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Estimated sphere frequency</w:t>
            </w:r>
          </w:p>
        </w:tc>
      </w:tr>
      <w:tr w:rsidR="00D14109" w:rsidRPr="00D14109" w14:paraId="2447B2CE" w14:textId="77777777" w:rsidTr="008C7B5B">
        <w:trPr>
          <w:gridAfter w:val="7"/>
          <w:wAfter w:w="5081" w:type="dxa"/>
          <w:trHeight w:val="296"/>
        </w:trPr>
        <w:tc>
          <w:tcPr>
            <w:tcW w:w="1283" w:type="dxa"/>
            <w:vMerge w:val="restart"/>
            <w:tcBorders>
              <w:top w:val="single" w:sz="4" w:space="0" w:color="auto"/>
            </w:tcBorders>
            <w:vAlign w:val="center"/>
          </w:tcPr>
          <w:p w14:paraId="6DD268EE"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Current study</w:t>
            </w:r>
          </w:p>
        </w:tc>
        <w:tc>
          <w:tcPr>
            <w:tcW w:w="2786" w:type="dxa"/>
            <w:tcBorders>
              <w:top w:val="single" w:sz="4" w:space="0" w:color="auto"/>
            </w:tcBorders>
            <w:vAlign w:val="center"/>
          </w:tcPr>
          <w:p w14:paraId="3C105C56" w14:textId="77777777" w:rsidR="00EF3A19" w:rsidRPr="00D14109" w:rsidRDefault="00EF3A19" w:rsidP="008C7B5B">
            <w:pPr>
              <w:jc w:val="center"/>
              <w:rPr>
                <w:rFonts w:eastAsia="游明朝"/>
                <w:kern w:val="2"/>
                <w:sz w:val="18"/>
                <w:szCs w:val="18"/>
                <w:lang w:eastAsia="ja-JP"/>
              </w:rPr>
            </w:pPr>
            <w:r w:rsidRPr="00D14109">
              <w:rPr>
                <w:rFonts w:eastAsia="Calibri"/>
                <w:sz w:val="18"/>
                <w:szCs w:val="18"/>
                <w:lang w:val="de-DE" w:eastAsia="en-US"/>
              </w:rPr>
              <w:t>miPS-FGF2</w:t>
            </w:r>
          </w:p>
        </w:tc>
        <w:tc>
          <w:tcPr>
            <w:tcW w:w="1258" w:type="dxa"/>
            <w:tcBorders>
              <w:top w:val="single" w:sz="4" w:space="0" w:color="auto"/>
            </w:tcBorders>
          </w:tcPr>
          <w:p w14:paraId="5AB31C0B"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1/23</w:t>
            </w:r>
          </w:p>
        </w:tc>
      </w:tr>
      <w:tr w:rsidR="00D14109" w:rsidRPr="00D14109" w14:paraId="732EAF77" w14:textId="77777777" w:rsidTr="008C7B5B">
        <w:trPr>
          <w:gridAfter w:val="7"/>
          <w:wAfter w:w="5081" w:type="dxa"/>
          <w:trHeight w:val="296"/>
        </w:trPr>
        <w:tc>
          <w:tcPr>
            <w:tcW w:w="1283" w:type="dxa"/>
            <w:vMerge/>
            <w:vAlign w:val="center"/>
          </w:tcPr>
          <w:p w14:paraId="6DA35662" w14:textId="77777777" w:rsidR="00EF3A19" w:rsidRPr="00D14109" w:rsidRDefault="00EF3A19" w:rsidP="008C7B5B">
            <w:pPr>
              <w:jc w:val="center"/>
              <w:rPr>
                <w:rFonts w:eastAsia="游明朝"/>
                <w:kern w:val="2"/>
                <w:sz w:val="18"/>
                <w:szCs w:val="18"/>
                <w:lang w:eastAsia="ja-JP"/>
              </w:rPr>
            </w:pPr>
          </w:p>
        </w:tc>
        <w:tc>
          <w:tcPr>
            <w:tcW w:w="2786" w:type="dxa"/>
            <w:vAlign w:val="center"/>
          </w:tcPr>
          <w:p w14:paraId="2E35EDBB" w14:textId="77777777" w:rsidR="00EF3A19" w:rsidRPr="00D14109" w:rsidRDefault="00EF3A19" w:rsidP="008C7B5B">
            <w:pPr>
              <w:jc w:val="center"/>
              <w:rPr>
                <w:rFonts w:eastAsia="游明朝"/>
                <w:kern w:val="2"/>
                <w:sz w:val="18"/>
                <w:szCs w:val="18"/>
                <w:lang w:eastAsia="ja-JP"/>
              </w:rPr>
            </w:pPr>
            <w:r w:rsidRPr="00D14109">
              <w:rPr>
                <w:rFonts w:eastAsia="Calibri"/>
                <w:sz w:val="18"/>
                <w:szCs w:val="18"/>
                <w:lang w:val="de-DE" w:eastAsia="en-US"/>
              </w:rPr>
              <w:t>miPS-FGF2-P1-GFP</w:t>
            </w:r>
            <w:r w:rsidRPr="00D14109">
              <w:rPr>
                <w:rFonts w:eastAsia="Calibri"/>
                <w:sz w:val="18"/>
                <w:szCs w:val="18"/>
                <w:vertAlign w:val="superscript"/>
                <w:lang w:val="de-DE" w:eastAsia="en-US"/>
              </w:rPr>
              <w:t>+</w:t>
            </w:r>
          </w:p>
        </w:tc>
        <w:tc>
          <w:tcPr>
            <w:tcW w:w="1258" w:type="dxa"/>
          </w:tcPr>
          <w:p w14:paraId="65EDE9C9"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1/21</w:t>
            </w:r>
          </w:p>
        </w:tc>
      </w:tr>
      <w:tr w:rsidR="00D14109" w:rsidRPr="00D14109" w14:paraId="5C2564F7" w14:textId="77777777" w:rsidTr="008C7B5B">
        <w:trPr>
          <w:trHeight w:val="296"/>
        </w:trPr>
        <w:tc>
          <w:tcPr>
            <w:tcW w:w="1283" w:type="dxa"/>
            <w:vMerge/>
            <w:vAlign w:val="center"/>
          </w:tcPr>
          <w:p w14:paraId="610E5433" w14:textId="77777777" w:rsidR="00EF3A19" w:rsidRPr="00D14109" w:rsidRDefault="00EF3A19" w:rsidP="008C7B5B">
            <w:pPr>
              <w:jc w:val="center"/>
              <w:rPr>
                <w:rFonts w:eastAsia="游明朝"/>
                <w:kern w:val="2"/>
                <w:sz w:val="18"/>
                <w:szCs w:val="18"/>
                <w:lang w:eastAsia="ja-JP"/>
              </w:rPr>
            </w:pPr>
          </w:p>
        </w:tc>
        <w:tc>
          <w:tcPr>
            <w:tcW w:w="2786" w:type="dxa"/>
            <w:vAlign w:val="center"/>
          </w:tcPr>
          <w:p w14:paraId="7DC11EFC" w14:textId="77777777" w:rsidR="00EF3A19" w:rsidRPr="00D14109" w:rsidRDefault="00EF3A19" w:rsidP="008C7B5B">
            <w:pPr>
              <w:jc w:val="center"/>
              <w:rPr>
                <w:rFonts w:eastAsia="游明朝"/>
                <w:kern w:val="2"/>
                <w:sz w:val="18"/>
                <w:szCs w:val="18"/>
                <w:lang w:eastAsia="ja-JP"/>
              </w:rPr>
            </w:pPr>
            <w:r w:rsidRPr="00D14109">
              <w:rPr>
                <w:rFonts w:eastAsia="Calibri"/>
                <w:sz w:val="18"/>
                <w:szCs w:val="18"/>
                <w:lang w:val="de-DE" w:eastAsia="en-US"/>
              </w:rPr>
              <w:t>miPS-FGF2-P1-GFP</w:t>
            </w:r>
            <w:r w:rsidRPr="00D14109">
              <w:rPr>
                <w:rFonts w:eastAsia="Calibri"/>
                <w:sz w:val="18"/>
                <w:szCs w:val="18"/>
                <w:vertAlign w:val="superscript"/>
                <w:lang w:val="de-DE" w:eastAsia="en-US"/>
              </w:rPr>
              <w:t>-</w:t>
            </w:r>
          </w:p>
        </w:tc>
        <w:tc>
          <w:tcPr>
            <w:tcW w:w="1258" w:type="dxa"/>
          </w:tcPr>
          <w:p w14:paraId="74CEB06A"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1/34</w:t>
            </w:r>
          </w:p>
        </w:tc>
        <w:tc>
          <w:tcPr>
            <w:tcW w:w="5081" w:type="dxa"/>
            <w:gridSpan w:val="7"/>
            <w:tcBorders>
              <w:top w:val="single" w:sz="12" w:space="0" w:color="auto"/>
            </w:tcBorders>
          </w:tcPr>
          <w:p w14:paraId="3852D0EA"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Cell numbers / injection</w:t>
            </w:r>
          </w:p>
        </w:tc>
      </w:tr>
      <w:tr w:rsidR="00D14109" w:rsidRPr="00D14109" w14:paraId="7EB3A590" w14:textId="77777777" w:rsidTr="008C7B5B">
        <w:trPr>
          <w:trHeight w:val="296"/>
        </w:trPr>
        <w:tc>
          <w:tcPr>
            <w:tcW w:w="1283" w:type="dxa"/>
            <w:vMerge/>
            <w:vAlign w:val="center"/>
          </w:tcPr>
          <w:p w14:paraId="219F4E45" w14:textId="77777777" w:rsidR="00EF3A19" w:rsidRPr="00D14109" w:rsidRDefault="00EF3A19" w:rsidP="008C7B5B">
            <w:pPr>
              <w:jc w:val="center"/>
              <w:rPr>
                <w:rFonts w:eastAsia="游明朝"/>
                <w:kern w:val="2"/>
                <w:sz w:val="18"/>
                <w:szCs w:val="18"/>
                <w:lang w:eastAsia="ja-JP"/>
              </w:rPr>
            </w:pPr>
          </w:p>
        </w:tc>
        <w:tc>
          <w:tcPr>
            <w:tcW w:w="4044" w:type="dxa"/>
            <w:gridSpan w:val="2"/>
            <w:vAlign w:val="center"/>
          </w:tcPr>
          <w:p w14:paraId="778A6E2D" w14:textId="77777777" w:rsidR="00EF3A19" w:rsidRPr="00D14109" w:rsidRDefault="00EF3A19" w:rsidP="008C7B5B">
            <w:pPr>
              <w:jc w:val="center"/>
              <w:rPr>
                <w:rFonts w:eastAsia="游明朝"/>
                <w:kern w:val="2"/>
                <w:sz w:val="18"/>
                <w:szCs w:val="18"/>
                <w:lang w:eastAsia="ja-JP"/>
              </w:rPr>
            </w:pPr>
          </w:p>
        </w:tc>
        <w:tc>
          <w:tcPr>
            <w:tcW w:w="861" w:type="dxa"/>
            <w:tcBorders>
              <w:bottom w:val="single" w:sz="4" w:space="0" w:color="auto"/>
            </w:tcBorders>
          </w:tcPr>
          <w:p w14:paraId="14B1AEA2" w14:textId="77777777" w:rsidR="00EF3A19" w:rsidRPr="00D14109" w:rsidRDefault="00EF3A19" w:rsidP="008C7B5B">
            <w:pPr>
              <w:jc w:val="center"/>
              <w:rPr>
                <w:rFonts w:eastAsia="Calibri"/>
                <w:sz w:val="18"/>
                <w:szCs w:val="18"/>
                <w:lang w:val="de-DE" w:eastAsia="en-US"/>
              </w:rPr>
            </w:pPr>
            <w:r w:rsidRPr="00D14109">
              <w:rPr>
                <w:rFonts w:eastAsia="游明朝"/>
                <w:kern w:val="2"/>
                <w:sz w:val="18"/>
                <w:szCs w:val="18"/>
                <w:lang w:eastAsia="ja-JP"/>
              </w:rPr>
              <w:t>100</w:t>
            </w:r>
          </w:p>
        </w:tc>
        <w:tc>
          <w:tcPr>
            <w:tcW w:w="0" w:type="auto"/>
            <w:tcBorders>
              <w:bottom w:val="single" w:sz="4" w:space="0" w:color="auto"/>
            </w:tcBorders>
          </w:tcPr>
          <w:p w14:paraId="7F85411C"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400</w:t>
            </w:r>
          </w:p>
        </w:tc>
        <w:tc>
          <w:tcPr>
            <w:tcW w:w="0" w:type="auto"/>
            <w:tcBorders>
              <w:bottom w:val="single" w:sz="4" w:space="0" w:color="auto"/>
            </w:tcBorders>
          </w:tcPr>
          <w:p w14:paraId="361FBB38"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500</w:t>
            </w:r>
          </w:p>
        </w:tc>
        <w:tc>
          <w:tcPr>
            <w:tcW w:w="0" w:type="auto"/>
            <w:tcBorders>
              <w:bottom w:val="single" w:sz="4" w:space="0" w:color="auto"/>
            </w:tcBorders>
          </w:tcPr>
          <w:p w14:paraId="7A5E2A7B" w14:textId="77777777" w:rsidR="00EF3A19" w:rsidRPr="00D14109" w:rsidRDefault="00EF3A19" w:rsidP="008C7B5B">
            <w:pPr>
              <w:jc w:val="center"/>
              <w:rPr>
                <w:rFonts w:eastAsia="Calibri"/>
                <w:sz w:val="18"/>
                <w:szCs w:val="18"/>
                <w:lang w:val="de-DE" w:eastAsia="en-US"/>
              </w:rPr>
            </w:pPr>
            <w:r w:rsidRPr="00D14109">
              <w:rPr>
                <w:rFonts w:eastAsia="游明朝"/>
                <w:kern w:val="2"/>
                <w:sz w:val="18"/>
                <w:szCs w:val="18"/>
                <w:lang w:eastAsia="ja-JP"/>
              </w:rPr>
              <w:t>1000</w:t>
            </w:r>
          </w:p>
        </w:tc>
        <w:tc>
          <w:tcPr>
            <w:tcW w:w="0" w:type="auto"/>
            <w:tcBorders>
              <w:bottom w:val="single" w:sz="4" w:space="0" w:color="auto"/>
            </w:tcBorders>
          </w:tcPr>
          <w:p w14:paraId="0990BA68"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2000</w:t>
            </w:r>
          </w:p>
        </w:tc>
        <w:tc>
          <w:tcPr>
            <w:tcW w:w="0" w:type="auto"/>
            <w:tcBorders>
              <w:bottom w:val="single" w:sz="4" w:space="0" w:color="auto"/>
            </w:tcBorders>
          </w:tcPr>
          <w:p w14:paraId="104BD5DE" w14:textId="77777777" w:rsidR="00EF3A19" w:rsidRPr="00D14109" w:rsidRDefault="00EF3A19" w:rsidP="008C7B5B">
            <w:pPr>
              <w:jc w:val="center"/>
              <w:rPr>
                <w:rFonts w:eastAsia="Calibri"/>
                <w:sz w:val="18"/>
                <w:szCs w:val="18"/>
                <w:lang w:val="de-DE" w:eastAsia="en-US"/>
              </w:rPr>
            </w:pPr>
            <w:r w:rsidRPr="00D14109">
              <w:rPr>
                <w:rFonts w:eastAsia="游明朝"/>
                <w:kern w:val="2"/>
                <w:sz w:val="18"/>
                <w:szCs w:val="18"/>
                <w:lang w:eastAsia="ja-JP"/>
              </w:rPr>
              <w:t>5000</w:t>
            </w:r>
          </w:p>
        </w:tc>
        <w:tc>
          <w:tcPr>
            <w:tcW w:w="0" w:type="auto"/>
            <w:tcBorders>
              <w:bottom w:val="single" w:sz="4" w:space="0" w:color="auto"/>
            </w:tcBorders>
          </w:tcPr>
          <w:p w14:paraId="48584DF6" w14:textId="77777777" w:rsidR="00EF3A19" w:rsidRPr="00D14109" w:rsidRDefault="00EF3A19" w:rsidP="008C7B5B">
            <w:pPr>
              <w:jc w:val="center"/>
              <w:rPr>
                <w:rFonts w:eastAsia="Calibri"/>
                <w:sz w:val="18"/>
                <w:szCs w:val="18"/>
                <w:lang w:val="de-DE" w:eastAsia="en-US"/>
              </w:rPr>
            </w:pPr>
            <w:r w:rsidRPr="00D14109">
              <w:rPr>
                <w:rFonts w:eastAsia="游明朝"/>
                <w:kern w:val="2"/>
                <w:sz w:val="18"/>
                <w:szCs w:val="18"/>
                <w:lang w:eastAsia="ja-JP"/>
              </w:rPr>
              <w:t>10000</w:t>
            </w:r>
          </w:p>
        </w:tc>
      </w:tr>
      <w:tr w:rsidR="00D14109" w:rsidRPr="00D14109" w14:paraId="0A774EF6" w14:textId="77777777" w:rsidTr="008C7B5B">
        <w:trPr>
          <w:trHeight w:val="376"/>
        </w:trPr>
        <w:tc>
          <w:tcPr>
            <w:tcW w:w="1283" w:type="dxa"/>
            <w:vMerge w:val="restart"/>
            <w:tcBorders>
              <w:top w:val="single" w:sz="4" w:space="0" w:color="auto"/>
            </w:tcBorders>
            <w:vAlign w:val="center"/>
          </w:tcPr>
          <w:p w14:paraId="4CE3854A" w14:textId="77777777" w:rsidR="00EF3A19" w:rsidRPr="00D14109" w:rsidRDefault="00EF3A19" w:rsidP="008C7B5B">
            <w:pPr>
              <w:jc w:val="center"/>
              <w:rPr>
                <w:sz w:val="18"/>
                <w:szCs w:val="18"/>
                <w:lang w:val="de-DE" w:eastAsia="en-US"/>
              </w:rPr>
            </w:pPr>
            <w:r w:rsidRPr="00D14109">
              <w:rPr>
                <w:rFonts w:eastAsia="Calibri"/>
                <w:sz w:val="18"/>
                <w:szCs w:val="18"/>
                <w:lang w:val="de-DE" w:eastAsia="en-US"/>
              </w:rPr>
              <w:fldChar w:fldCharType="begin" w:fldLock="1"/>
            </w:r>
            <w:r w:rsidRPr="00D14109">
              <w:rPr>
                <w:rFonts w:eastAsia="Calibri"/>
                <w:sz w:val="18"/>
                <w:szCs w:val="18"/>
                <w:lang w:val="de-DE" w:eastAsia="en-US"/>
              </w:rPr>
              <w:instrText>ADDIN CSL_CITATION {"citationItems":[{"id":"ITEM-1","itemData":{"DOI":"10.1158/0008-5472.CAN-13-2309","author":[{"dropping-particle":"","family":"Lau","given":"Wen Min","non-dropping-particle":"","parse-names":false,"suffix":""},{"dropping-particle":"","family":"Teng","given":"Eileen","non-dropping-particle":"","parse-names":false,"suffix":""},{"dropping-particle":"","family":"Chong","given":"Hui Shan","non-dropping-particle":"","parse-names":false,"suffix":""},{"dropping-particle":"","family":"Pagaduan Lopez","given":"Kirsten Anne","non-dropping-particle":"","parse-names":false,"suffix":""},{"dropping-particle":"","family":"Yuh","given":"Amy","non-dropping-particle":"","parse-names":false,"suffix":""},{"dropping-particle":"","family":"Tay","given":"Ling","non-dropping-particle":"","parse-names":false,"suffix":""},{"dropping-particle":"","family":"Salto-Tellez","given":"Manuel","non-dropping-particle":"","parse-names":false,"suffix":""},{"dropping-particle":"","family":"Shabbir","given":"Asim","non-dropping-particle":"","parse-names":false,"suffix":""},{"dropping-particle":"","family":"Yan So","given":"Jimmy Bok","non-dropping-particle":"","parse-names":false,"suffix":""},{"dropping-particle":"","family":"Chan","given":"Shing Leng","non-dropping-particle":"","parse-names":false,"suffix":""}],"id":"ITEM-1","issued":{"date-parts":[["2014"]]},"title":"Tumor and Stem Cell Biology CD44v8-10 Is a Cancer-Specific Marker for Gastric Cancer Stem Cells","type":"article-journal"},"uris":["http://www.mendeley.com/documents/?uuid=0b409e61-f9e6-3085-a0fd-c0bbb28c5f9d"]}],"mendeley":{"formattedCitation":"[1]","manualFormatting":"Lau et al. 2014","plainTextFormattedCitation":"[1]","previouslyFormattedCitation":"(Lau et al. 2014)"},"properties":{"noteIndex":0},"schema":"https://github.com/citation-style-language/schema/raw/master/csl-citation.json"}</w:instrText>
            </w:r>
            <w:r w:rsidRPr="00D14109">
              <w:rPr>
                <w:rFonts w:eastAsia="Calibri"/>
                <w:sz w:val="18"/>
                <w:szCs w:val="18"/>
                <w:lang w:val="de-DE" w:eastAsia="en-US"/>
              </w:rPr>
              <w:fldChar w:fldCharType="separate"/>
            </w:r>
            <w:r w:rsidRPr="00D14109">
              <w:rPr>
                <w:rFonts w:eastAsia="Calibri"/>
                <w:noProof/>
                <w:sz w:val="18"/>
                <w:szCs w:val="18"/>
                <w:lang w:val="de-DE" w:eastAsia="en-US"/>
              </w:rPr>
              <w:t>Lau et al. 2014</w:t>
            </w:r>
            <w:r w:rsidRPr="00D14109">
              <w:rPr>
                <w:rFonts w:eastAsia="Calibri"/>
                <w:sz w:val="18"/>
                <w:szCs w:val="18"/>
                <w:lang w:val="de-DE" w:eastAsia="en-US"/>
              </w:rPr>
              <w:fldChar w:fldCharType="end"/>
            </w:r>
            <w:r w:rsidRPr="00D14109">
              <w:rPr>
                <w:rFonts w:eastAsia="Calibri"/>
                <w:sz w:val="18"/>
                <w:szCs w:val="18"/>
                <w:lang w:val="de-DE" w:eastAsia="en-US"/>
              </w:rPr>
              <w:t xml:space="preserve"> </w:t>
            </w:r>
            <w:r w:rsidRPr="00D14109">
              <w:rPr>
                <w:rFonts w:asciiTheme="majorBidi" w:hAnsiTheme="majorBidi" w:cstheme="majorBidi"/>
                <w:sz w:val="18"/>
                <w:szCs w:val="18"/>
              </w:rPr>
              <w:fldChar w:fldCharType="begin" w:fldLock="1"/>
            </w:r>
            <w:r w:rsidRPr="00D14109">
              <w:rPr>
                <w:rFonts w:asciiTheme="majorBidi" w:hAnsiTheme="majorBidi" w:cstheme="majorBidi"/>
                <w:sz w:val="18"/>
                <w:szCs w:val="18"/>
              </w:rPr>
              <w:instrText>ADDIN CSL_CITATION {"citationItems":[{"id":"ITEM-1","itemData":{"DOI":"10.1158/0008-5472.CAN-13-2309","author":[{"dropping-particle":"","family":"Lau","given":"Wen Min","non-dropping-particle":"","parse-names":false,"suffix":""},{"dropping-particle":"","family":"Teng","given":"Eileen","non-dropping-particle":"","parse-names":false,"suffix":""},{"dropping-particle":"","family":"Chong","given":"Hui Shan","non-dropping-particle":"","parse-names":false,"suffix":""},{"dropping-particle":"","family":"Pagaduan Lopez","given":"Kirsten Anne","non-dropping-particle":"","parse-names":false,"suffix":""},{"dropping-particle":"","family":"Yuh","given":"Amy","non-dropping-particle":"","parse-names":false,"suffix":""},{"dropping-particle":"","family":"Tay","given":"Ling","non-dropping-particle":"","parse-names":false,"suffix":""},{"dropping-particle":"","family":"Salto-Tellez","given":"Manuel","non-dropping-particle":"","parse-names":false,"suffix":""},{"dropping-particle":"","family":"Shabbir","given":"Asim","non-dropping-particle":"","parse-names":false,"suffix":""},{"dropping-particle":"","family":"Yan So","given":"Jimmy Bok","non-dropping-particle":"","parse-names":false,"suffix":""},{"dropping-particle":"","family":"Chan","given":"Shing Leng","non-dropping-particle":"","parse-names":false,"suffix":""}],"id":"ITEM-1","issued":{"date-parts":[["2014"]]},"title":"Tumor and Stem Cell Biology CD44v8-10 Is a Cancer-Specific Marker for Gastric Cancer Stem Cells","type":"article-journal"},"uris":["http://www.mendeley.com/documents/?uuid=0b409e61-f9e6-3085-a0fd-c0bbb28c5f9d"]}],"mendeley":{"formattedCitation":"[19]","plainTextFormattedCitation":"[19]","previouslyFormattedCitation":"[19]"},"properties":{"noteIndex":0},"schema":"https://github.com/citation-style-language/schema/raw/master/csl-citation.json"}</w:instrText>
            </w:r>
            <w:r w:rsidRPr="00D14109">
              <w:rPr>
                <w:rFonts w:asciiTheme="majorBidi" w:hAnsiTheme="majorBidi" w:cstheme="majorBidi"/>
                <w:sz w:val="18"/>
                <w:szCs w:val="18"/>
              </w:rPr>
              <w:fldChar w:fldCharType="separate"/>
            </w:r>
            <w:r w:rsidRPr="00D14109">
              <w:rPr>
                <w:rFonts w:asciiTheme="majorBidi" w:hAnsiTheme="majorBidi" w:cstheme="majorBidi"/>
                <w:noProof/>
                <w:sz w:val="18"/>
                <w:szCs w:val="18"/>
              </w:rPr>
              <w:t>[19]</w:t>
            </w:r>
            <w:r w:rsidRPr="00D14109">
              <w:rPr>
                <w:rFonts w:asciiTheme="majorBidi" w:hAnsiTheme="majorBidi" w:cstheme="majorBidi"/>
                <w:sz w:val="18"/>
                <w:szCs w:val="18"/>
              </w:rPr>
              <w:fldChar w:fldCharType="end"/>
            </w:r>
          </w:p>
        </w:tc>
        <w:tc>
          <w:tcPr>
            <w:tcW w:w="2786" w:type="dxa"/>
            <w:tcBorders>
              <w:top w:val="single" w:sz="4" w:space="0" w:color="auto"/>
            </w:tcBorders>
            <w:vAlign w:val="center"/>
          </w:tcPr>
          <w:p w14:paraId="4F7D4B03"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GC16 CD44+</w:t>
            </w:r>
          </w:p>
        </w:tc>
        <w:tc>
          <w:tcPr>
            <w:tcW w:w="1258" w:type="dxa"/>
            <w:tcBorders>
              <w:top w:val="single" w:sz="4" w:space="0" w:color="auto"/>
            </w:tcBorders>
            <w:vAlign w:val="center"/>
          </w:tcPr>
          <w:p w14:paraId="14B397D8"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1/140</w:t>
            </w:r>
          </w:p>
        </w:tc>
        <w:tc>
          <w:tcPr>
            <w:tcW w:w="861" w:type="dxa"/>
            <w:tcBorders>
              <w:top w:val="single" w:sz="4" w:space="0" w:color="auto"/>
            </w:tcBorders>
            <w:vAlign w:val="center"/>
          </w:tcPr>
          <w:p w14:paraId="48D50692"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6/8</w:t>
            </w:r>
          </w:p>
        </w:tc>
        <w:tc>
          <w:tcPr>
            <w:tcW w:w="0" w:type="auto"/>
            <w:tcBorders>
              <w:top w:val="single" w:sz="4" w:space="0" w:color="auto"/>
            </w:tcBorders>
            <w:vAlign w:val="center"/>
          </w:tcPr>
          <w:p w14:paraId="2F69E55C"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0C90B77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3/3</w:t>
            </w:r>
          </w:p>
        </w:tc>
        <w:tc>
          <w:tcPr>
            <w:tcW w:w="0" w:type="auto"/>
            <w:tcBorders>
              <w:top w:val="single" w:sz="4" w:space="0" w:color="auto"/>
            </w:tcBorders>
            <w:vAlign w:val="center"/>
          </w:tcPr>
          <w:p w14:paraId="26DC11AD"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3/3</w:t>
            </w:r>
          </w:p>
        </w:tc>
        <w:tc>
          <w:tcPr>
            <w:tcW w:w="0" w:type="auto"/>
            <w:tcBorders>
              <w:top w:val="single" w:sz="4" w:space="0" w:color="auto"/>
            </w:tcBorders>
            <w:vAlign w:val="center"/>
          </w:tcPr>
          <w:p w14:paraId="639ED676"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ND</w:t>
            </w:r>
          </w:p>
        </w:tc>
        <w:tc>
          <w:tcPr>
            <w:tcW w:w="0" w:type="auto"/>
            <w:tcBorders>
              <w:top w:val="single" w:sz="4" w:space="0" w:color="auto"/>
            </w:tcBorders>
            <w:vAlign w:val="center"/>
          </w:tcPr>
          <w:p w14:paraId="5F966B0B"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289580B4"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ND</w:t>
            </w:r>
          </w:p>
        </w:tc>
      </w:tr>
      <w:tr w:rsidR="00D14109" w:rsidRPr="00D14109" w14:paraId="1FB08100" w14:textId="77777777" w:rsidTr="008C7B5B">
        <w:trPr>
          <w:trHeight w:val="377"/>
        </w:trPr>
        <w:tc>
          <w:tcPr>
            <w:tcW w:w="1283" w:type="dxa"/>
            <w:vMerge/>
            <w:vAlign w:val="center"/>
          </w:tcPr>
          <w:p w14:paraId="1E1CF77B" w14:textId="77777777" w:rsidR="00EF3A19" w:rsidRPr="00D14109" w:rsidRDefault="00EF3A19" w:rsidP="008C7B5B">
            <w:pPr>
              <w:jc w:val="center"/>
              <w:rPr>
                <w:rFonts w:eastAsia="Calibri"/>
                <w:sz w:val="18"/>
                <w:szCs w:val="18"/>
                <w:lang w:val="de-DE" w:eastAsia="en-US"/>
              </w:rPr>
            </w:pPr>
          </w:p>
        </w:tc>
        <w:tc>
          <w:tcPr>
            <w:tcW w:w="2786" w:type="dxa"/>
            <w:vAlign w:val="center"/>
          </w:tcPr>
          <w:p w14:paraId="584EE16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GC21 CD44+</w:t>
            </w:r>
          </w:p>
        </w:tc>
        <w:tc>
          <w:tcPr>
            <w:tcW w:w="1258" w:type="dxa"/>
            <w:vAlign w:val="center"/>
          </w:tcPr>
          <w:p w14:paraId="652B1831"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1/100</w:t>
            </w:r>
          </w:p>
        </w:tc>
        <w:tc>
          <w:tcPr>
            <w:tcW w:w="861" w:type="dxa"/>
            <w:vAlign w:val="center"/>
          </w:tcPr>
          <w:p w14:paraId="414C0AD5"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13/15</w:t>
            </w:r>
          </w:p>
        </w:tc>
        <w:tc>
          <w:tcPr>
            <w:tcW w:w="0" w:type="auto"/>
            <w:vAlign w:val="center"/>
          </w:tcPr>
          <w:p w14:paraId="1D4870F6"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14/15</w:t>
            </w:r>
          </w:p>
        </w:tc>
        <w:tc>
          <w:tcPr>
            <w:tcW w:w="0" w:type="auto"/>
            <w:vAlign w:val="center"/>
          </w:tcPr>
          <w:p w14:paraId="7F225033"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5/5</w:t>
            </w:r>
          </w:p>
        </w:tc>
        <w:tc>
          <w:tcPr>
            <w:tcW w:w="0" w:type="auto"/>
            <w:vAlign w:val="center"/>
          </w:tcPr>
          <w:p w14:paraId="626BB5A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5/5</w:t>
            </w:r>
          </w:p>
        </w:tc>
        <w:tc>
          <w:tcPr>
            <w:tcW w:w="0" w:type="auto"/>
            <w:vAlign w:val="center"/>
          </w:tcPr>
          <w:p w14:paraId="5923BA2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17/17</w:t>
            </w:r>
          </w:p>
        </w:tc>
        <w:tc>
          <w:tcPr>
            <w:tcW w:w="0" w:type="auto"/>
            <w:vAlign w:val="center"/>
          </w:tcPr>
          <w:p w14:paraId="4AA85942"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3/3</w:t>
            </w:r>
          </w:p>
        </w:tc>
        <w:tc>
          <w:tcPr>
            <w:tcW w:w="0" w:type="auto"/>
            <w:vAlign w:val="center"/>
          </w:tcPr>
          <w:p w14:paraId="37750794"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2/2</w:t>
            </w:r>
          </w:p>
        </w:tc>
      </w:tr>
      <w:tr w:rsidR="00D14109" w:rsidRPr="00D14109" w14:paraId="1B65BF66" w14:textId="77777777" w:rsidTr="008C7B5B">
        <w:trPr>
          <w:trHeight w:val="377"/>
        </w:trPr>
        <w:tc>
          <w:tcPr>
            <w:tcW w:w="1283" w:type="dxa"/>
            <w:vMerge/>
            <w:tcBorders>
              <w:bottom w:val="single" w:sz="4" w:space="0" w:color="auto"/>
            </w:tcBorders>
            <w:vAlign w:val="center"/>
          </w:tcPr>
          <w:p w14:paraId="5151945F" w14:textId="77777777" w:rsidR="00EF3A19" w:rsidRPr="00D14109" w:rsidRDefault="00EF3A19" w:rsidP="008C7B5B">
            <w:pPr>
              <w:jc w:val="center"/>
              <w:rPr>
                <w:rFonts w:eastAsia="Calibri"/>
                <w:sz w:val="18"/>
                <w:szCs w:val="18"/>
                <w:lang w:val="de-DE" w:eastAsia="en-US"/>
              </w:rPr>
            </w:pPr>
          </w:p>
        </w:tc>
        <w:tc>
          <w:tcPr>
            <w:tcW w:w="2786" w:type="dxa"/>
            <w:tcBorders>
              <w:bottom w:val="single" w:sz="4" w:space="0" w:color="auto"/>
            </w:tcBorders>
            <w:vAlign w:val="center"/>
          </w:tcPr>
          <w:p w14:paraId="41B5E344"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GC38 CD44+</w:t>
            </w:r>
          </w:p>
        </w:tc>
        <w:tc>
          <w:tcPr>
            <w:tcW w:w="1258" w:type="dxa"/>
            <w:tcBorders>
              <w:bottom w:val="single" w:sz="4" w:space="0" w:color="auto"/>
            </w:tcBorders>
            <w:vAlign w:val="center"/>
          </w:tcPr>
          <w:p w14:paraId="79DC90F9"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1/70</w:t>
            </w:r>
          </w:p>
        </w:tc>
        <w:tc>
          <w:tcPr>
            <w:tcW w:w="861" w:type="dxa"/>
            <w:tcBorders>
              <w:bottom w:val="single" w:sz="4" w:space="0" w:color="auto"/>
            </w:tcBorders>
            <w:vAlign w:val="center"/>
          </w:tcPr>
          <w:p w14:paraId="1DB2A887"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69F8177C"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6DA9E515"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4/7</w:t>
            </w:r>
          </w:p>
        </w:tc>
        <w:tc>
          <w:tcPr>
            <w:tcW w:w="0" w:type="auto"/>
            <w:tcBorders>
              <w:bottom w:val="single" w:sz="4" w:space="0" w:color="auto"/>
            </w:tcBorders>
            <w:vAlign w:val="center"/>
          </w:tcPr>
          <w:p w14:paraId="29C64C3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4/7</w:t>
            </w:r>
          </w:p>
        </w:tc>
        <w:tc>
          <w:tcPr>
            <w:tcW w:w="0" w:type="auto"/>
            <w:tcBorders>
              <w:bottom w:val="single" w:sz="4" w:space="0" w:color="auto"/>
            </w:tcBorders>
            <w:vAlign w:val="center"/>
          </w:tcPr>
          <w:p w14:paraId="3765CD7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12/13</w:t>
            </w:r>
          </w:p>
        </w:tc>
        <w:tc>
          <w:tcPr>
            <w:tcW w:w="0" w:type="auto"/>
            <w:tcBorders>
              <w:bottom w:val="single" w:sz="4" w:space="0" w:color="auto"/>
            </w:tcBorders>
            <w:vAlign w:val="center"/>
          </w:tcPr>
          <w:p w14:paraId="57891E82"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426442DC"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12/13</w:t>
            </w:r>
          </w:p>
        </w:tc>
      </w:tr>
      <w:tr w:rsidR="00D14109" w:rsidRPr="00D14109" w14:paraId="2EA83664" w14:textId="77777777" w:rsidTr="008C7B5B">
        <w:trPr>
          <w:trHeight w:val="377"/>
        </w:trPr>
        <w:tc>
          <w:tcPr>
            <w:tcW w:w="1283" w:type="dxa"/>
            <w:vMerge w:val="restart"/>
            <w:tcBorders>
              <w:top w:val="single" w:sz="4" w:space="0" w:color="auto"/>
            </w:tcBorders>
            <w:vAlign w:val="center"/>
          </w:tcPr>
          <w:p w14:paraId="296C7EDA"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fldChar w:fldCharType="begin" w:fldLock="1"/>
            </w:r>
            <w:r w:rsidRPr="00D14109">
              <w:rPr>
                <w:rFonts w:eastAsia="Calibri"/>
                <w:sz w:val="18"/>
                <w:szCs w:val="18"/>
                <w:lang w:val="de-DE" w:eastAsia="en-US"/>
              </w:rPr>
              <w:instrText>ADDIN CSL_CITATION {"citationItems":[{"id":"ITEM-1","itemData":{"DOI":"10.1158/0008-5472.CAN-17-1869","abstract":"Posttreatment recurrence of colorectal cancer, the third most lethal cancer worldwide, is often driven by a subpopulation of cancer stem cells (CSC). The tight junction (TJ) protein claudin-2 is overexpressed in human colorectal cancer, where it enhances cell proliferation, colony formation, and chemoresistance in vitro. While several of these biological processes are features of the CSC phenotype, a role for claudin-2 in the regulation of these has not been identified. Here, we report that elevated claudin-2 expression in stage II/III colorectal tumors is associated with poor recurrence-free survival following 5-fluorouracil-based chemotherapy, an outcome in which CSCs play an instrumental role. In patient-derived organoids, primary cells, and cell lines, claudin-2 promoted colorectal cancer self-renewal in vitro and in multiple mouse xenograft models. Claudin-2 enhanced self-renewal of ALDH High CSCs and increased their proportion in colorectal cancer cell populations, limiting their differentiation and promoting the phenotypic transition of non-CSCs toward the ALDH High phenotype. Next-generation sequencing in ALDH High cells revealed that claudin-2 regulated expression of nine miRNAs known to control stem cell signaling. Among these, miR-222-3p was instrumental for the regulation of self-renewal by claudin-2, and enhancement of this self-renewal required activation of YAP, most likely upstream from miR-222-3p. Taken together, our results indicate that overexpression of claudin-2 promotes self-renewal within colorectal cancer stem-like cells, suggesting a potential role for this protein as a therapeutic target in colorectal cancer. Significance: Claudin-2-mediated regulation of YAP activity and miR-222-3p expression drives CSC renewal in colorectal cancer, making it a potential target for therapy. Cancer Res; 78(11); 2925-38. Ó2018 AACR.","author":[{"dropping-particle":"","family":"Paquet-Fifield","given":"Sophie","non-dropping-particle":"","parse-names":false,"suffix":""},{"dropping-particle":"","family":"Koh","given":"Shir Lin","non-dropping-particle":"","parse-names":false,"suffix":""},{"dropping-particle":"","family":"Cheng","given":"Lesley","non-dropping-particle":"","parse-names":false,"suffix":""},{"dropping-particle":"","family":"Beyit","given":"Laura M","non-dropping-particle":"","parse-names":false,"suffix":""},{"dropping-particle":"","family":"Shembrey","given":"Carolyn","non-dropping-particle":"","parse-names":false,"suffix":""},{"dropping-particle":"","family":"Mølck","given":"Christina","non-dropping-particle":"","parse-names":false,"suffix":""},{"dropping-particle":"","family":"Behrenbruch","given":"Corina","non-dropping-particle":"","parse-names":false,"suffix":""},{"dropping-particle":"","family":"Papin","given":"Marina","non-dropping-particle":"","parse-names":false,"suffix":""},{"dropping-particle":"","family":"Gironella","given":"Meritxell","non-dropping-particle":"","parse-names":false,"suffix":""},{"dropping-particle":"","family":"Guelfi","given":"Sophie","non-dropping-particle":"","parse-names":false,"suffix":""},{"dropping-particle":"","family":"Nasr","given":"Ramona","non-dropping-particle":"","parse-names":false,"suffix":""},{"dropping-particle":"","family":"Grillet","given":"Fanny","non-dropping-particle":"","parse-names":false,"suffix":""},{"dropping-particle":"","family":"Prudhomme","given":"Michel","non-dropping-particle":"","parse-names":false,"suffix":""},{"dropping-particle":"","family":"Bourgaux","given":"Jean-Francois","non-dropping-particle":"","parse-names":false,"suffix":""},{"dropping-particle":"","family":"Castells","given":"Antoni","non-dropping-particle":"","parse-names":false,"suffix":""},{"dropping-particle":"","family":"Pascussi","given":"Jean-Marc","non-dropping-particle":"","parse-names":false,"suffix":""},{"dropping-particle":"","family":"Heriot","given":"Alexander G","non-dropping-particle":"","parse-names":false,"suffix":""},{"dropping-particle":"","family":"Puisieux","given":"Alain","non-dropping-particle":"","parse-names":false,"suffix":""},{"dropping-particle":"","family":"Davis","given":"Melissa J","non-dropping-particle":"","parse-names":false,"suffix":""},{"dropping-particle":"","family":"Pannequin","given":"Julie","non-dropping-particle":"","parse-names":false,"suffix":""},{"dropping-particle":"","family":"Hill","given":"Andrew F","non-dropping-particle":"","parse-names":false,"suffix":""},{"dropping-particle":"","family":"Sloan","given":"Erica K","non-dropping-particle":"","parse-names":false,"suffix":""},{"dropping-particle":"","family":"Ed","given":"Fr","non-dropping-particle":"","parse-names":false,"suffix":""},{"dropping-particle":"","family":"Hollande","given":"Eric","non-dropping-particle":"","parse-names":false,"suffix":""}],"id":"ITEM-1","issued":{"date-parts":[["2018"]]},"title":"Tumor Biology and Immunology Tight Junction Protein Claudin-2 Promotes Self-Renewal of Human Colorectal Cancer Stem-like Cells","type":"article-journal"},"uris":["http://www.mendeley.com/documents/?uuid=86d306ea-6020-3041-8854-b2363c1ceffe"]}],"mendeley":{"formattedCitation":"[2]","manualFormatting":"Paquet-Fifield et al. 2018","plainTextFormattedCitation":"[2]","previouslyFormattedCitation":"(Paquet-Fifield et al. 2018)"},"properties":{"noteIndex":0},"schema":"https://github.com/citation-style-language/schema/raw/master/csl-citation.json"}</w:instrText>
            </w:r>
            <w:r w:rsidRPr="00D14109">
              <w:rPr>
                <w:rFonts w:eastAsia="Calibri"/>
                <w:sz w:val="18"/>
                <w:szCs w:val="18"/>
                <w:lang w:val="de-DE" w:eastAsia="en-US"/>
              </w:rPr>
              <w:fldChar w:fldCharType="separate"/>
            </w:r>
            <w:r w:rsidRPr="00D14109">
              <w:rPr>
                <w:rFonts w:eastAsia="Calibri"/>
                <w:noProof/>
                <w:sz w:val="18"/>
                <w:szCs w:val="18"/>
                <w:lang w:val="de-DE" w:eastAsia="en-US"/>
              </w:rPr>
              <w:t>Paquet-Fifield et al. 2018</w:t>
            </w:r>
            <w:r w:rsidRPr="00D14109">
              <w:rPr>
                <w:rFonts w:eastAsia="Calibri"/>
                <w:sz w:val="18"/>
                <w:szCs w:val="18"/>
                <w:lang w:val="de-DE" w:eastAsia="en-US"/>
              </w:rPr>
              <w:fldChar w:fldCharType="end"/>
            </w:r>
            <w:r w:rsidRPr="00D14109">
              <w:rPr>
                <w:rFonts w:eastAsia="Calibri"/>
                <w:sz w:val="18"/>
                <w:szCs w:val="18"/>
                <w:lang w:val="de-DE" w:eastAsia="en-US"/>
              </w:rPr>
              <w:t xml:space="preserve"> </w:t>
            </w:r>
            <w:r w:rsidRPr="00D14109">
              <w:rPr>
                <w:rFonts w:asciiTheme="majorBidi" w:hAnsiTheme="majorBidi" w:cstheme="majorBidi"/>
                <w:sz w:val="18"/>
                <w:szCs w:val="18"/>
              </w:rPr>
              <w:fldChar w:fldCharType="begin" w:fldLock="1"/>
            </w:r>
            <w:r w:rsidRPr="00D14109">
              <w:rPr>
                <w:rFonts w:asciiTheme="majorBidi" w:hAnsiTheme="majorBidi" w:cstheme="majorBidi"/>
                <w:sz w:val="18"/>
                <w:szCs w:val="18"/>
              </w:rPr>
              <w:instrText>ADDIN CSL_CITATION {"citationItems":[{"id":"ITEM-1","itemData":{"DOI":"10.1158/0008-5472.CAN-17-1869","abstract":"Posttreatment recurrence of colorectal cancer, the third most lethal cancer worldwide, is often driven by a subpopulation of cancer stem cells (CSC). The tight junction (TJ) protein claudin-2 is overexpressed in human colorectal cancer, where it enhances cell proliferation, colony formation, and chemoresistance in vitro. While several of these biological processes are features of the CSC phenotype, a role for claudin-2 in the regulation of these has not been identified. Here, we report that elevated claudin-2 expression in stage II/III colorectal tumors is associated with poor recurrence-free survival following 5-fluorouracil-based chemotherapy, an outcome in which CSCs play an instrumental role. In patient-derived organoids, primary cells, and cell lines, claudin-2 promoted colorectal cancer self-renewal in vitro and in multiple mouse xenograft models. Claudin-2 enhanced self-renewal of ALDH High CSCs and increased their proportion in colorectal cancer cell populations, limiting their differentiation and promoting the phenotypic transition of non-CSCs toward the ALDH High phenotype. Next-generation sequencing in ALDH High cells revealed that claudin-2 regulated expression of nine miRNAs known to control stem cell signaling. Among these, miR-222-3p was instrumental for the regulation of self-renewal by claudin-2, and enhancement of this self-renewal required activation of YAP, most likely upstream from miR-222-3p. Taken together, our results indicate that overexpression of claudin-2 promotes self-renewal within colorectal cancer stem-like cells, suggesting a potential role for this protein as a therapeutic target in colorectal cancer. Significance: Claudin-2-mediated regulation of YAP activity and miR-222-3p expression drives CSC renewal in colorectal cancer, making it a potential target for therapy. Cancer Res; 78(11); 2925-38. Ó2018 AACR.","author":[{"dropping-particle":"","family":"Paquet-Fifield","given":"Sophie","non-dropping-particle":"","parse-names":false,"suffix":""},{"dropping-particle":"","family":"Koh","given":"Shir Lin","non-dropping-particle":"","parse-names":false,"suffix":""},{"dropping-particle":"","family":"Cheng","given":"Lesley","non-dropping-particle":"","parse-names":false,"suffix":""},{"dropping-particle":"","family":"Beyit","given":"Laura M","non-dropping-particle":"","parse-names":false,"suffix":""},{"dropping-particle":"","family":"Shembrey","given":"Carolyn","non-dropping-particle":"","parse-names":false,"suffix":""},{"dropping-particle":"","family":"Mølck","given":"Christina","non-dropping-particle":"","parse-names":false,"suffix":""},{"dropping-particle":"","family":"Behrenbruch","given":"Corina","non-dropping-particle":"","parse-names":false,"suffix":""},{"dropping-particle":"","family":"Papin","given":"Marina","non-dropping-particle":"","parse-names":false,"suffix":""},{"dropping-particle":"","family":"Gironella","given":"Meritxell","non-dropping-particle":"","parse-names":false,"suffix":""},{"dropping-particle":"","family":"Guelfi","given":"Sophie","non-dropping-particle":"","parse-names":false,"suffix":""},{"dropping-particle":"","family":"Nasr","given":"Ramona","non-dropping-particle":"","parse-names":false,"suffix":""},{"dropping-particle":"","family":"Grillet","given":"Fanny","non-dropping-particle":"","parse-names":false,"suffix":""},{"dropping-particle":"","family":"Prudhomme","given":"Michel","non-dropping-particle":"","parse-names":false,"suffix":""},{"dropping-particle":"","family":"Bourgaux","given":"Jean-Francois","non-dropping-particle":"","parse-names":false,"suffix":""},{"dropping-particle":"","family":"Castells","given":"Antoni","non-dropping-particle":"","parse-names":false,"suffix":""},{"dropping-particle":"","family":"Pascussi","given":"Jean-Marc","non-dropping-particle":"","parse-names":false,"suffix":""},{"dropping-particle":"","family":"Heriot","given":"Alexander G","non-dropping-particle":"","parse-names":false,"suffix":""},{"dropping-particle":"","family":"Puisieux","given":"Alain","non-dropping-particle":"","parse-names":false,"suffix":""},{"dropping-particle":"","family":"Davis","given":"Melissa J","non-dropping-particle":"","parse-names":false,"suffix":""},{"dropping-particle":"","family":"Pannequin","given":"Julie","non-dropping-particle":"","parse-names":false,"suffix":""},{"dropping-particle":"","family":"Hill","given":"Andrew F","non-dropping-particle":"","parse-names":false,"suffix":""},{"dropping-particle":"","family":"Sloan","given":"Erica K","non-dropping-particle":"","parse-names":false,"suffix":""},{"dropping-particle":"","family":"Ed","given":"Fr","non-dropping-particle":"","parse-names":false,"suffix":""},{"dropping-particle":"","family":"Hollande","given":"Eric","non-dropping-particle":"","parse-names":false,"suffix":""}],"id":"ITEM-1","issued":{"date-parts":[["2018"]]},"title":"Tumor Biology and Immunology Tight Junction Protein Claudin-2 Promotes Self-Renewal of Human Colorectal Cancer Stem-like Cells","type":"article-journal"},"uris":["http://www.mendeley.com/documents/?uuid=86d306ea-6020-3041-8854-b2363c1ceffe"]}],"mendeley":{"formattedCitation":"[20]","plainTextFormattedCitation":"[20]","previouslyFormattedCitation":"[20]"},"properties":{"noteIndex":0},"schema":"https://github.com/citation-style-language/schema/raw/master/csl-citation.json"}</w:instrText>
            </w:r>
            <w:r w:rsidRPr="00D14109">
              <w:rPr>
                <w:rFonts w:asciiTheme="majorBidi" w:hAnsiTheme="majorBidi" w:cstheme="majorBidi"/>
                <w:sz w:val="18"/>
                <w:szCs w:val="18"/>
              </w:rPr>
              <w:fldChar w:fldCharType="separate"/>
            </w:r>
            <w:r w:rsidRPr="00D14109">
              <w:rPr>
                <w:rFonts w:asciiTheme="majorBidi" w:hAnsiTheme="majorBidi" w:cstheme="majorBidi"/>
                <w:noProof/>
                <w:sz w:val="18"/>
                <w:szCs w:val="18"/>
              </w:rPr>
              <w:t>[20]</w:t>
            </w:r>
            <w:r w:rsidRPr="00D14109">
              <w:rPr>
                <w:rFonts w:asciiTheme="majorBidi" w:hAnsiTheme="majorBidi" w:cstheme="majorBidi"/>
                <w:sz w:val="18"/>
                <w:szCs w:val="18"/>
              </w:rPr>
              <w:fldChar w:fldCharType="end"/>
            </w:r>
          </w:p>
        </w:tc>
        <w:tc>
          <w:tcPr>
            <w:tcW w:w="2786" w:type="dxa"/>
            <w:tcBorders>
              <w:top w:val="single" w:sz="4" w:space="0" w:color="auto"/>
            </w:tcBorders>
            <w:vAlign w:val="center"/>
          </w:tcPr>
          <w:p w14:paraId="424B4005"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CRC1-CON</w:t>
            </w:r>
          </w:p>
        </w:tc>
        <w:tc>
          <w:tcPr>
            <w:tcW w:w="1258" w:type="dxa"/>
            <w:tcBorders>
              <w:top w:val="single" w:sz="4" w:space="0" w:color="auto"/>
            </w:tcBorders>
            <w:vAlign w:val="center"/>
          </w:tcPr>
          <w:p w14:paraId="5BE3DCF3"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1/23.4</w:t>
            </w:r>
          </w:p>
        </w:tc>
        <w:tc>
          <w:tcPr>
            <w:tcW w:w="861" w:type="dxa"/>
            <w:tcBorders>
              <w:top w:val="single" w:sz="4" w:space="0" w:color="auto"/>
            </w:tcBorders>
            <w:vAlign w:val="center"/>
          </w:tcPr>
          <w:p w14:paraId="4FA04E03"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53DDACF8"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7A4184CD"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4/5</w:t>
            </w:r>
          </w:p>
        </w:tc>
        <w:tc>
          <w:tcPr>
            <w:tcW w:w="0" w:type="auto"/>
            <w:tcBorders>
              <w:top w:val="single" w:sz="4" w:space="0" w:color="auto"/>
            </w:tcBorders>
            <w:vAlign w:val="center"/>
          </w:tcPr>
          <w:p w14:paraId="3E909D17"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4CE7557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61C7B05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3/5</w:t>
            </w:r>
          </w:p>
        </w:tc>
        <w:tc>
          <w:tcPr>
            <w:tcW w:w="0" w:type="auto"/>
            <w:tcBorders>
              <w:top w:val="single" w:sz="4" w:space="0" w:color="auto"/>
            </w:tcBorders>
            <w:vAlign w:val="center"/>
          </w:tcPr>
          <w:p w14:paraId="44C402B2"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r>
      <w:tr w:rsidR="00D14109" w:rsidRPr="00D14109" w14:paraId="7D6AE708" w14:textId="77777777" w:rsidTr="008C7B5B">
        <w:trPr>
          <w:trHeight w:val="377"/>
        </w:trPr>
        <w:tc>
          <w:tcPr>
            <w:tcW w:w="1283" w:type="dxa"/>
            <w:vMerge/>
            <w:vAlign w:val="center"/>
          </w:tcPr>
          <w:p w14:paraId="063B57FF" w14:textId="77777777" w:rsidR="00EF3A19" w:rsidRPr="00D14109" w:rsidRDefault="00EF3A19" w:rsidP="008C7B5B">
            <w:pPr>
              <w:jc w:val="center"/>
              <w:rPr>
                <w:rFonts w:eastAsia="Calibri"/>
                <w:sz w:val="18"/>
                <w:szCs w:val="18"/>
                <w:lang w:val="de-DE" w:eastAsia="en-US"/>
              </w:rPr>
            </w:pPr>
          </w:p>
        </w:tc>
        <w:tc>
          <w:tcPr>
            <w:tcW w:w="2786" w:type="dxa"/>
            <w:tcBorders>
              <w:bottom w:val="single" w:sz="4" w:space="0" w:color="auto"/>
            </w:tcBorders>
            <w:vAlign w:val="center"/>
          </w:tcPr>
          <w:p w14:paraId="2DAB97EC"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CRC1-CLDN2</w:t>
            </w:r>
          </w:p>
        </w:tc>
        <w:tc>
          <w:tcPr>
            <w:tcW w:w="1258" w:type="dxa"/>
            <w:tcBorders>
              <w:bottom w:val="single" w:sz="4" w:space="0" w:color="auto"/>
            </w:tcBorders>
            <w:vAlign w:val="center"/>
          </w:tcPr>
          <w:p w14:paraId="2AEFFABF"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1/7</w:t>
            </w:r>
          </w:p>
        </w:tc>
        <w:tc>
          <w:tcPr>
            <w:tcW w:w="861" w:type="dxa"/>
            <w:tcBorders>
              <w:bottom w:val="single" w:sz="4" w:space="0" w:color="auto"/>
            </w:tcBorders>
            <w:vAlign w:val="center"/>
          </w:tcPr>
          <w:p w14:paraId="53734C33"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093F201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55BDCFF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5/5</w:t>
            </w:r>
          </w:p>
        </w:tc>
        <w:tc>
          <w:tcPr>
            <w:tcW w:w="0" w:type="auto"/>
            <w:tcBorders>
              <w:bottom w:val="single" w:sz="4" w:space="0" w:color="auto"/>
            </w:tcBorders>
            <w:vAlign w:val="center"/>
          </w:tcPr>
          <w:p w14:paraId="6DE1165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6F23FED8"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4" w:space="0" w:color="auto"/>
            </w:tcBorders>
            <w:vAlign w:val="center"/>
          </w:tcPr>
          <w:p w14:paraId="52F4977C"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5/5</w:t>
            </w:r>
          </w:p>
        </w:tc>
        <w:tc>
          <w:tcPr>
            <w:tcW w:w="0" w:type="auto"/>
            <w:tcBorders>
              <w:bottom w:val="single" w:sz="4" w:space="0" w:color="auto"/>
            </w:tcBorders>
            <w:vAlign w:val="center"/>
          </w:tcPr>
          <w:p w14:paraId="0C6442FF"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r>
      <w:tr w:rsidR="00D14109" w:rsidRPr="00D14109" w14:paraId="5B01F539" w14:textId="77777777" w:rsidTr="008C7B5B">
        <w:trPr>
          <w:trHeight w:val="377"/>
        </w:trPr>
        <w:tc>
          <w:tcPr>
            <w:tcW w:w="1283" w:type="dxa"/>
            <w:vMerge w:val="restart"/>
            <w:tcBorders>
              <w:top w:val="single" w:sz="4" w:space="0" w:color="000000"/>
            </w:tcBorders>
            <w:vAlign w:val="center"/>
          </w:tcPr>
          <w:p w14:paraId="092E192B" w14:textId="77777777" w:rsidR="00EF3A19" w:rsidRPr="00D14109" w:rsidRDefault="00EF3A19" w:rsidP="008C7B5B">
            <w:pPr>
              <w:jc w:val="center"/>
              <w:rPr>
                <w:rFonts w:eastAsia="Calibri"/>
                <w:sz w:val="18"/>
                <w:szCs w:val="18"/>
                <w:lang w:val="de-DE" w:eastAsia="en-US"/>
              </w:rPr>
            </w:pPr>
            <w:r w:rsidRPr="00D14109">
              <w:rPr>
                <w:rFonts w:eastAsia="游明朝"/>
                <w:noProof/>
                <w:kern w:val="2"/>
                <w:sz w:val="18"/>
                <w:szCs w:val="18"/>
                <w:lang w:eastAsia="ja-JP"/>
              </w:rPr>
              <w:t xml:space="preserve">Essex et al. 2019 </w:t>
            </w:r>
            <w:r w:rsidRPr="00D14109">
              <w:rPr>
                <w:rFonts w:asciiTheme="majorBidi" w:hAnsiTheme="majorBidi" w:cstheme="majorBidi"/>
                <w:sz w:val="18"/>
                <w:szCs w:val="18"/>
              </w:rPr>
              <w:fldChar w:fldCharType="begin" w:fldLock="1"/>
            </w:r>
            <w:r w:rsidRPr="00D14109">
              <w:rPr>
                <w:rFonts w:asciiTheme="majorBidi" w:hAnsiTheme="majorBidi" w:cstheme="majorBidi"/>
                <w:sz w:val="18"/>
                <w:szCs w:val="18"/>
              </w:rPr>
              <w:instrText>ADDIN CSL_CITATION {"citationItems":[{"id":"ITEM-1","itemData":{"DOI":"10.7554/eLife.45426.001","abstract":"As part of the Reproducibility Project: Cancer Biology we published a Registered Report (Evans et al., 2015), that described how we intended to replicate selected experiments from the paper 'Wnt activity defines colon cancer stem cells and is regulated by the microenvironment' (Vermeulen et al., 2010). Here, we report the results. Using three independent primary spheroidal colon cancer cultures that expressed a Wnt reporter construct we observed high Wnt activity was associated with the cell surface markers CD133, CD166, and CD29, but not CD24 and CD44, while the original study found all five markers were correlated with high Wnt activity (Figure 2F; Vermeulen et al., 2010). Clonogenicity was highest in cells with high Wnt activity and clonogenic potential of cells with low Wnt activity were increased by myofibroblast-secreted factors, including HGF. While the effects were in the same direction as the original study (Figure 6D; Vermeulen et al., 2010) whether statistical significance was reached among the different conditions varied. When tested in vivo, we did not find a difference in tumorigenicity between high and low Wnt activity, while the original study found cells with high Wnt activity were more effective in inducing tumors (Figure 7E; Vermeulen et al., 2010). Tumorigenicity, however, was increased with myofibroblast-secreted factors, which was in the same direction as the original study (Figure 7E; Vermeulen et al., 2010), but not statistically significant. Finally, we report meta-analyses for each results where possible.","author":[{"dropping-particle":"","family":"Essex","given":"Anthony","non-dropping-particle":"","parse-names":false,"suffix":""},{"dropping-particle":"","family":"Pineda","given":"Javier","non-dropping-particle":"","parse-names":false,"suffix":""},{"dropping-particle":"","family":"Acharya","given":"Grishma","non-dropping-particle":"","parse-names":false,"suffix":""},{"dropping-particle":"","family":"Xin","given":"Hong","non-dropping-particle":"","parse-names":false,"suffix":""},{"dropping-particle":"","family":"Evans","given":"James","non-dropping-particle":"","parse-names":false,"suffix":""},{"dropping-particle":"","family":"Project","given":"Reproducibility","non-dropping-particle":"","parse-names":false,"suffix":""},{"dropping-particle":"","family":"Biology","given":"Cancer","non-dropping-particle":"","parse-names":false,"suffix":""}],"id":"ITEM-1","issued":{"date-parts":[["2019"]]},"title":"Replication Study: Wnt activity defines colon cancer stem cells and is regulated by the microenvironment","type":"article-journal"},"uris":["http://www.mendeley.com/documents/?uuid=c4865f9f-f47e-32ac-b237-08d7cee559fb"]}],"mendeley":{"formattedCitation":"[21]","plainTextFormattedCitation":"[21]"},"properties":{"noteIndex":0},"schema":"https://github.com/citation-style-language/schema/raw/master/csl-citation.json"}</w:instrText>
            </w:r>
            <w:r w:rsidRPr="00D14109">
              <w:rPr>
                <w:rFonts w:asciiTheme="majorBidi" w:hAnsiTheme="majorBidi" w:cstheme="majorBidi"/>
                <w:sz w:val="18"/>
                <w:szCs w:val="18"/>
              </w:rPr>
              <w:fldChar w:fldCharType="separate"/>
            </w:r>
            <w:r w:rsidRPr="00D14109">
              <w:rPr>
                <w:rFonts w:asciiTheme="majorBidi" w:hAnsiTheme="majorBidi" w:cstheme="majorBidi"/>
                <w:noProof/>
                <w:sz w:val="18"/>
                <w:szCs w:val="18"/>
              </w:rPr>
              <w:t>[21]</w:t>
            </w:r>
            <w:r w:rsidRPr="00D14109">
              <w:rPr>
                <w:rFonts w:asciiTheme="majorBidi" w:hAnsiTheme="majorBidi" w:cstheme="majorBidi"/>
                <w:sz w:val="18"/>
                <w:szCs w:val="18"/>
              </w:rPr>
              <w:fldChar w:fldCharType="end"/>
            </w:r>
          </w:p>
        </w:tc>
        <w:tc>
          <w:tcPr>
            <w:tcW w:w="2786" w:type="dxa"/>
            <w:tcBorders>
              <w:top w:val="single" w:sz="4" w:space="0" w:color="auto"/>
            </w:tcBorders>
            <w:vAlign w:val="center"/>
          </w:tcPr>
          <w:p w14:paraId="48883274"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TOP-GFP Low</w:t>
            </w:r>
          </w:p>
        </w:tc>
        <w:tc>
          <w:tcPr>
            <w:tcW w:w="1258" w:type="dxa"/>
            <w:tcBorders>
              <w:top w:val="single" w:sz="4" w:space="0" w:color="auto"/>
            </w:tcBorders>
            <w:vAlign w:val="center"/>
          </w:tcPr>
          <w:p w14:paraId="2C046FF2"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1/39</w:t>
            </w:r>
          </w:p>
        </w:tc>
        <w:tc>
          <w:tcPr>
            <w:tcW w:w="861" w:type="dxa"/>
            <w:tcBorders>
              <w:top w:val="single" w:sz="4" w:space="0" w:color="auto"/>
            </w:tcBorders>
            <w:vAlign w:val="center"/>
          </w:tcPr>
          <w:p w14:paraId="41476EA8"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0/4</w:t>
            </w:r>
          </w:p>
        </w:tc>
        <w:tc>
          <w:tcPr>
            <w:tcW w:w="0" w:type="auto"/>
            <w:tcBorders>
              <w:top w:val="single" w:sz="4" w:space="0" w:color="auto"/>
            </w:tcBorders>
            <w:vAlign w:val="center"/>
          </w:tcPr>
          <w:p w14:paraId="6C6CF167"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2A75FC79"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0B6371C5"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2/4</w:t>
            </w:r>
          </w:p>
        </w:tc>
        <w:tc>
          <w:tcPr>
            <w:tcW w:w="0" w:type="auto"/>
            <w:tcBorders>
              <w:top w:val="single" w:sz="4" w:space="0" w:color="auto"/>
            </w:tcBorders>
            <w:vAlign w:val="center"/>
          </w:tcPr>
          <w:p w14:paraId="011054CF"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top w:val="single" w:sz="4" w:space="0" w:color="auto"/>
            </w:tcBorders>
            <w:vAlign w:val="center"/>
          </w:tcPr>
          <w:p w14:paraId="6A922C30"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3/4</w:t>
            </w:r>
          </w:p>
        </w:tc>
        <w:tc>
          <w:tcPr>
            <w:tcW w:w="0" w:type="auto"/>
            <w:tcBorders>
              <w:top w:val="single" w:sz="4" w:space="0" w:color="auto"/>
            </w:tcBorders>
            <w:vAlign w:val="center"/>
          </w:tcPr>
          <w:p w14:paraId="04B626FA"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ND</w:t>
            </w:r>
          </w:p>
        </w:tc>
      </w:tr>
      <w:tr w:rsidR="00D14109" w:rsidRPr="00D14109" w14:paraId="40DF93AB" w14:textId="77777777" w:rsidTr="008C7B5B">
        <w:trPr>
          <w:trHeight w:val="377"/>
        </w:trPr>
        <w:tc>
          <w:tcPr>
            <w:tcW w:w="1283" w:type="dxa"/>
            <w:vMerge/>
          </w:tcPr>
          <w:p w14:paraId="75297295" w14:textId="77777777" w:rsidR="00EF3A19" w:rsidRPr="00D14109" w:rsidRDefault="00EF3A19" w:rsidP="008C7B5B">
            <w:pPr>
              <w:jc w:val="center"/>
              <w:rPr>
                <w:rFonts w:eastAsia="Calibri"/>
                <w:sz w:val="18"/>
                <w:szCs w:val="18"/>
                <w:lang w:val="de-DE" w:eastAsia="en-US"/>
              </w:rPr>
            </w:pPr>
          </w:p>
        </w:tc>
        <w:tc>
          <w:tcPr>
            <w:tcW w:w="2786" w:type="dxa"/>
            <w:vAlign w:val="center"/>
          </w:tcPr>
          <w:p w14:paraId="521DA707"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TOP-GFP High</w:t>
            </w:r>
          </w:p>
        </w:tc>
        <w:tc>
          <w:tcPr>
            <w:tcW w:w="1258" w:type="dxa"/>
            <w:vAlign w:val="center"/>
          </w:tcPr>
          <w:p w14:paraId="569D9CC5"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1/12</w:t>
            </w:r>
          </w:p>
        </w:tc>
        <w:tc>
          <w:tcPr>
            <w:tcW w:w="861" w:type="dxa"/>
            <w:vAlign w:val="center"/>
          </w:tcPr>
          <w:p w14:paraId="77941A9D"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0/4</w:t>
            </w:r>
          </w:p>
        </w:tc>
        <w:tc>
          <w:tcPr>
            <w:tcW w:w="0" w:type="auto"/>
            <w:vAlign w:val="center"/>
          </w:tcPr>
          <w:p w14:paraId="07CDEC34"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vAlign w:val="center"/>
          </w:tcPr>
          <w:p w14:paraId="01EB416A"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vAlign w:val="center"/>
          </w:tcPr>
          <w:p w14:paraId="39392DAA"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3/4</w:t>
            </w:r>
          </w:p>
        </w:tc>
        <w:tc>
          <w:tcPr>
            <w:tcW w:w="0" w:type="auto"/>
            <w:vAlign w:val="center"/>
          </w:tcPr>
          <w:p w14:paraId="6199A867"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vAlign w:val="center"/>
          </w:tcPr>
          <w:p w14:paraId="5EDE597F"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2/4</w:t>
            </w:r>
          </w:p>
        </w:tc>
        <w:tc>
          <w:tcPr>
            <w:tcW w:w="0" w:type="auto"/>
            <w:vAlign w:val="center"/>
          </w:tcPr>
          <w:p w14:paraId="131C546D"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2/2</w:t>
            </w:r>
          </w:p>
        </w:tc>
      </w:tr>
      <w:tr w:rsidR="00D14109" w:rsidRPr="00D14109" w14:paraId="13D16405" w14:textId="77777777" w:rsidTr="008C7B5B">
        <w:trPr>
          <w:trHeight w:val="377"/>
        </w:trPr>
        <w:tc>
          <w:tcPr>
            <w:tcW w:w="1283" w:type="dxa"/>
            <w:vMerge/>
            <w:tcBorders>
              <w:bottom w:val="single" w:sz="18" w:space="0" w:color="auto"/>
            </w:tcBorders>
          </w:tcPr>
          <w:p w14:paraId="5C30D831" w14:textId="77777777" w:rsidR="00EF3A19" w:rsidRPr="00D14109" w:rsidRDefault="00EF3A19" w:rsidP="008C7B5B">
            <w:pPr>
              <w:jc w:val="center"/>
              <w:rPr>
                <w:rFonts w:eastAsia="Calibri"/>
                <w:sz w:val="18"/>
                <w:szCs w:val="18"/>
                <w:lang w:val="de-DE" w:eastAsia="en-US"/>
              </w:rPr>
            </w:pPr>
          </w:p>
        </w:tc>
        <w:tc>
          <w:tcPr>
            <w:tcW w:w="2786" w:type="dxa"/>
            <w:tcBorders>
              <w:bottom w:val="single" w:sz="18" w:space="0" w:color="000000"/>
            </w:tcBorders>
            <w:vAlign w:val="center"/>
          </w:tcPr>
          <w:p w14:paraId="58E2BE2B"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TOP-GFP Low + MFCM</w:t>
            </w:r>
          </w:p>
        </w:tc>
        <w:tc>
          <w:tcPr>
            <w:tcW w:w="1258" w:type="dxa"/>
            <w:tcBorders>
              <w:bottom w:val="single" w:sz="18" w:space="0" w:color="000000"/>
            </w:tcBorders>
            <w:vAlign w:val="center"/>
          </w:tcPr>
          <w:p w14:paraId="0DA666D1" w14:textId="77777777" w:rsidR="00EF3A19" w:rsidRPr="00D14109" w:rsidRDefault="00EF3A19" w:rsidP="008C7B5B">
            <w:pPr>
              <w:jc w:val="center"/>
              <w:rPr>
                <w:rFonts w:eastAsia="游明朝"/>
                <w:kern w:val="2"/>
                <w:sz w:val="18"/>
                <w:szCs w:val="18"/>
                <w:lang w:eastAsia="ja-JP"/>
              </w:rPr>
            </w:pPr>
            <w:r w:rsidRPr="00D14109">
              <w:rPr>
                <w:rFonts w:eastAsia="游明朝"/>
                <w:kern w:val="2"/>
                <w:sz w:val="18"/>
                <w:szCs w:val="18"/>
                <w:lang w:eastAsia="ja-JP"/>
              </w:rPr>
              <w:t>1/36</w:t>
            </w:r>
          </w:p>
        </w:tc>
        <w:tc>
          <w:tcPr>
            <w:tcW w:w="861" w:type="dxa"/>
            <w:tcBorders>
              <w:bottom w:val="single" w:sz="18" w:space="0" w:color="000000"/>
            </w:tcBorders>
            <w:vAlign w:val="center"/>
          </w:tcPr>
          <w:p w14:paraId="43C328AE"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2/4</w:t>
            </w:r>
          </w:p>
        </w:tc>
        <w:tc>
          <w:tcPr>
            <w:tcW w:w="0" w:type="auto"/>
            <w:tcBorders>
              <w:bottom w:val="single" w:sz="18" w:space="0" w:color="000000"/>
            </w:tcBorders>
            <w:vAlign w:val="center"/>
          </w:tcPr>
          <w:p w14:paraId="30FC835D"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18" w:space="0" w:color="000000"/>
            </w:tcBorders>
            <w:vAlign w:val="center"/>
          </w:tcPr>
          <w:p w14:paraId="62484CB1"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18" w:space="0" w:color="000000"/>
            </w:tcBorders>
            <w:vAlign w:val="center"/>
          </w:tcPr>
          <w:p w14:paraId="0AB30E33"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2/4</w:t>
            </w:r>
          </w:p>
        </w:tc>
        <w:tc>
          <w:tcPr>
            <w:tcW w:w="0" w:type="auto"/>
            <w:tcBorders>
              <w:bottom w:val="single" w:sz="18" w:space="0" w:color="000000"/>
            </w:tcBorders>
            <w:vAlign w:val="center"/>
          </w:tcPr>
          <w:p w14:paraId="12348396"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w:t>
            </w:r>
          </w:p>
        </w:tc>
        <w:tc>
          <w:tcPr>
            <w:tcW w:w="0" w:type="auto"/>
            <w:tcBorders>
              <w:bottom w:val="single" w:sz="18" w:space="0" w:color="000000"/>
            </w:tcBorders>
            <w:vAlign w:val="center"/>
          </w:tcPr>
          <w:p w14:paraId="03A8C8CB" w14:textId="77777777"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4/4</w:t>
            </w:r>
          </w:p>
        </w:tc>
        <w:tc>
          <w:tcPr>
            <w:tcW w:w="0" w:type="auto"/>
            <w:tcBorders>
              <w:bottom w:val="single" w:sz="18" w:space="0" w:color="000000"/>
            </w:tcBorders>
            <w:vAlign w:val="center"/>
          </w:tcPr>
          <w:p w14:paraId="7D2BC92B" w14:textId="502AC7A5" w:rsidR="00EF3A19" w:rsidRPr="00D14109" w:rsidRDefault="00EF3A19" w:rsidP="008C7B5B">
            <w:pPr>
              <w:jc w:val="center"/>
              <w:rPr>
                <w:rFonts w:eastAsia="Calibri"/>
                <w:sz w:val="18"/>
                <w:szCs w:val="18"/>
                <w:lang w:val="de-DE" w:eastAsia="en-US"/>
              </w:rPr>
            </w:pPr>
            <w:r w:rsidRPr="00D14109">
              <w:rPr>
                <w:rFonts w:eastAsia="Calibri"/>
                <w:sz w:val="18"/>
                <w:szCs w:val="18"/>
                <w:lang w:val="de-DE" w:eastAsia="en-US"/>
              </w:rPr>
              <w:t>12/13</w:t>
            </w:r>
          </w:p>
        </w:tc>
      </w:tr>
    </w:tbl>
    <w:bookmarkEnd w:id="0"/>
    <w:p w14:paraId="3737AEA4" w14:textId="7944FB40" w:rsidR="00584E9A" w:rsidRDefault="00832E26" w:rsidP="00D14109">
      <w:pPr>
        <w:spacing w:after="160"/>
        <w:jc w:val="both"/>
        <w:rPr>
          <w:rFonts w:eastAsia="游明朝" w:hint="eastAsia"/>
          <w:kern w:val="2"/>
          <w:lang w:val="en-US" w:eastAsia="ja-JP"/>
        </w:rPr>
      </w:pPr>
      <w:r w:rsidRPr="00D14109">
        <w:rPr>
          <w:rFonts w:eastAsia="游明朝"/>
          <w:b/>
          <w:bCs/>
          <w:kern w:val="2"/>
          <w:lang w:val="en-US" w:eastAsia="ja-JP"/>
        </w:rPr>
        <w:t>-</w:t>
      </w:r>
      <w:r w:rsidRPr="00D14109">
        <w:rPr>
          <w:rFonts w:eastAsia="游明朝"/>
          <w:kern w:val="2"/>
          <w:lang w:val="en-US" w:eastAsia="ja-JP"/>
        </w:rPr>
        <w:t>: not described.  ND: not detected.</w:t>
      </w:r>
    </w:p>
    <w:p w14:paraId="6E3E3E40" w14:textId="77777777" w:rsidR="00584E9A" w:rsidRPr="00D14109" w:rsidRDefault="00584E9A" w:rsidP="007B0A02">
      <w:pPr>
        <w:spacing w:line="360" w:lineRule="auto"/>
        <w:jc w:val="both"/>
        <w:rPr>
          <w:rFonts w:asciiTheme="majorBidi" w:hAnsiTheme="majorBidi" w:cstheme="majorBidi"/>
        </w:rPr>
      </w:pPr>
    </w:p>
    <w:sectPr w:rsidR="00584E9A" w:rsidRPr="00D14109" w:rsidSect="001D75C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07F0" w14:textId="77777777" w:rsidR="00FD3784" w:rsidRDefault="00FD3784" w:rsidP="00C61B26">
      <w:r>
        <w:separator/>
      </w:r>
    </w:p>
  </w:endnote>
  <w:endnote w:type="continuationSeparator" w:id="0">
    <w:p w14:paraId="37CA738B" w14:textId="77777777" w:rsidR="00FD3784" w:rsidRDefault="00FD3784" w:rsidP="00C6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5729" w14:textId="77777777" w:rsidR="00FD3784" w:rsidRDefault="00FD3784" w:rsidP="00C61B26">
      <w:r>
        <w:separator/>
      </w:r>
    </w:p>
  </w:footnote>
  <w:footnote w:type="continuationSeparator" w:id="0">
    <w:p w14:paraId="18104047" w14:textId="77777777" w:rsidR="00FD3784" w:rsidRDefault="00FD3784" w:rsidP="00C6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B19"/>
    <w:multiLevelType w:val="hybridMultilevel"/>
    <w:tmpl w:val="BF1E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DKytDQzNDAzszBT0lEKTi0uzszPAykwMq0FAPuJRtctAAAA"/>
  </w:docVars>
  <w:rsids>
    <w:rsidRoot w:val="007F5E78"/>
    <w:rsid w:val="00000DFF"/>
    <w:rsid w:val="00005CD9"/>
    <w:rsid w:val="0000725E"/>
    <w:rsid w:val="00026372"/>
    <w:rsid w:val="00040363"/>
    <w:rsid w:val="00041ED3"/>
    <w:rsid w:val="000434AE"/>
    <w:rsid w:val="000477D4"/>
    <w:rsid w:val="00053F19"/>
    <w:rsid w:val="00061DDC"/>
    <w:rsid w:val="00076B67"/>
    <w:rsid w:val="0008635D"/>
    <w:rsid w:val="00087C91"/>
    <w:rsid w:val="00094376"/>
    <w:rsid w:val="00095AC0"/>
    <w:rsid w:val="00097CD9"/>
    <w:rsid w:val="000A5616"/>
    <w:rsid w:val="000D7227"/>
    <w:rsid w:val="000F6AFB"/>
    <w:rsid w:val="000F6BA1"/>
    <w:rsid w:val="001023A0"/>
    <w:rsid w:val="001153D0"/>
    <w:rsid w:val="00115B3A"/>
    <w:rsid w:val="00117AC7"/>
    <w:rsid w:val="00127819"/>
    <w:rsid w:val="00131CC6"/>
    <w:rsid w:val="00136D19"/>
    <w:rsid w:val="0014435E"/>
    <w:rsid w:val="001457B1"/>
    <w:rsid w:val="001555D3"/>
    <w:rsid w:val="0016441D"/>
    <w:rsid w:val="00170EA0"/>
    <w:rsid w:val="00173385"/>
    <w:rsid w:val="001837A7"/>
    <w:rsid w:val="00186615"/>
    <w:rsid w:val="00187395"/>
    <w:rsid w:val="00192CFC"/>
    <w:rsid w:val="00193D23"/>
    <w:rsid w:val="0019516B"/>
    <w:rsid w:val="001A0478"/>
    <w:rsid w:val="001A069E"/>
    <w:rsid w:val="001A324F"/>
    <w:rsid w:val="001B747C"/>
    <w:rsid w:val="001B7BE5"/>
    <w:rsid w:val="001C6B19"/>
    <w:rsid w:val="001C6B36"/>
    <w:rsid w:val="001D117F"/>
    <w:rsid w:val="001D605D"/>
    <w:rsid w:val="001D75CB"/>
    <w:rsid w:val="001E7DBE"/>
    <w:rsid w:val="001F299A"/>
    <w:rsid w:val="001F4239"/>
    <w:rsid w:val="001F5B8A"/>
    <w:rsid w:val="0020502D"/>
    <w:rsid w:val="0021431D"/>
    <w:rsid w:val="00217CFB"/>
    <w:rsid w:val="0022772F"/>
    <w:rsid w:val="0023109A"/>
    <w:rsid w:val="002414CA"/>
    <w:rsid w:val="00243495"/>
    <w:rsid w:val="00243F94"/>
    <w:rsid w:val="002470F7"/>
    <w:rsid w:val="00254DAA"/>
    <w:rsid w:val="0026388E"/>
    <w:rsid w:val="002715A0"/>
    <w:rsid w:val="00271638"/>
    <w:rsid w:val="002879F3"/>
    <w:rsid w:val="002A1E96"/>
    <w:rsid w:val="002A20CB"/>
    <w:rsid w:val="002C4395"/>
    <w:rsid w:val="002C697B"/>
    <w:rsid w:val="002D0E8D"/>
    <w:rsid w:val="002D62CB"/>
    <w:rsid w:val="002E30CA"/>
    <w:rsid w:val="002E70A1"/>
    <w:rsid w:val="002F3706"/>
    <w:rsid w:val="00301E0A"/>
    <w:rsid w:val="003150EC"/>
    <w:rsid w:val="003175EE"/>
    <w:rsid w:val="00317C82"/>
    <w:rsid w:val="003201FE"/>
    <w:rsid w:val="00343454"/>
    <w:rsid w:val="00350CD7"/>
    <w:rsid w:val="003600F5"/>
    <w:rsid w:val="00361F6C"/>
    <w:rsid w:val="00365D6A"/>
    <w:rsid w:val="00373CB5"/>
    <w:rsid w:val="00375568"/>
    <w:rsid w:val="0037593A"/>
    <w:rsid w:val="0038347D"/>
    <w:rsid w:val="0039274E"/>
    <w:rsid w:val="003A1F48"/>
    <w:rsid w:val="003A4948"/>
    <w:rsid w:val="003A7455"/>
    <w:rsid w:val="003B1BD6"/>
    <w:rsid w:val="003B411F"/>
    <w:rsid w:val="003B4C97"/>
    <w:rsid w:val="003B5130"/>
    <w:rsid w:val="003B59A0"/>
    <w:rsid w:val="003C30CA"/>
    <w:rsid w:val="003C72EA"/>
    <w:rsid w:val="003D3C58"/>
    <w:rsid w:val="003E021A"/>
    <w:rsid w:val="003E375E"/>
    <w:rsid w:val="003F5475"/>
    <w:rsid w:val="00400311"/>
    <w:rsid w:val="00411A63"/>
    <w:rsid w:val="0041627E"/>
    <w:rsid w:val="00431214"/>
    <w:rsid w:val="00431281"/>
    <w:rsid w:val="0043169F"/>
    <w:rsid w:val="004319D0"/>
    <w:rsid w:val="00442FD3"/>
    <w:rsid w:val="00453E4A"/>
    <w:rsid w:val="0045406E"/>
    <w:rsid w:val="0045584A"/>
    <w:rsid w:val="0048033B"/>
    <w:rsid w:val="004947F4"/>
    <w:rsid w:val="004A33C7"/>
    <w:rsid w:val="004A5B64"/>
    <w:rsid w:val="004C4A6C"/>
    <w:rsid w:val="004E4DD2"/>
    <w:rsid w:val="004F052C"/>
    <w:rsid w:val="004F2846"/>
    <w:rsid w:val="005003DD"/>
    <w:rsid w:val="0050480B"/>
    <w:rsid w:val="00511DD7"/>
    <w:rsid w:val="00513B26"/>
    <w:rsid w:val="00517E8F"/>
    <w:rsid w:val="0054491B"/>
    <w:rsid w:val="00545AD0"/>
    <w:rsid w:val="00551B44"/>
    <w:rsid w:val="005630C5"/>
    <w:rsid w:val="0056549F"/>
    <w:rsid w:val="00570559"/>
    <w:rsid w:val="00584E9A"/>
    <w:rsid w:val="00595D32"/>
    <w:rsid w:val="00597B12"/>
    <w:rsid w:val="005A0D5D"/>
    <w:rsid w:val="005A1DE9"/>
    <w:rsid w:val="005A6E36"/>
    <w:rsid w:val="005B0D7F"/>
    <w:rsid w:val="005D0B4C"/>
    <w:rsid w:val="005D73F5"/>
    <w:rsid w:val="005D75CB"/>
    <w:rsid w:val="005E1227"/>
    <w:rsid w:val="00602009"/>
    <w:rsid w:val="0060634D"/>
    <w:rsid w:val="00615B2D"/>
    <w:rsid w:val="00615C12"/>
    <w:rsid w:val="00622E4A"/>
    <w:rsid w:val="00631754"/>
    <w:rsid w:val="00636A6F"/>
    <w:rsid w:val="0065052F"/>
    <w:rsid w:val="0065390F"/>
    <w:rsid w:val="00654E5A"/>
    <w:rsid w:val="00665F58"/>
    <w:rsid w:val="00676372"/>
    <w:rsid w:val="00676685"/>
    <w:rsid w:val="00685C09"/>
    <w:rsid w:val="0068629B"/>
    <w:rsid w:val="00691A69"/>
    <w:rsid w:val="006A6684"/>
    <w:rsid w:val="006B163A"/>
    <w:rsid w:val="006D1B02"/>
    <w:rsid w:val="006E54E9"/>
    <w:rsid w:val="006F1AA8"/>
    <w:rsid w:val="006F3648"/>
    <w:rsid w:val="006F4C4C"/>
    <w:rsid w:val="00705732"/>
    <w:rsid w:val="007204CD"/>
    <w:rsid w:val="00722DE3"/>
    <w:rsid w:val="00730632"/>
    <w:rsid w:val="0073199C"/>
    <w:rsid w:val="00736CC6"/>
    <w:rsid w:val="00741DD0"/>
    <w:rsid w:val="00744B6B"/>
    <w:rsid w:val="00750405"/>
    <w:rsid w:val="00761B52"/>
    <w:rsid w:val="00763509"/>
    <w:rsid w:val="007714A4"/>
    <w:rsid w:val="007801BA"/>
    <w:rsid w:val="0079771E"/>
    <w:rsid w:val="007A1D4C"/>
    <w:rsid w:val="007B048A"/>
    <w:rsid w:val="007B06C7"/>
    <w:rsid w:val="007B0921"/>
    <w:rsid w:val="007B0A02"/>
    <w:rsid w:val="007B2575"/>
    <w:rsid w:val="007B2AC4"/>
    <w:rsid w:val="007B5587"/>
    <w:rsid w:val="007C349B"/>
    <w:rsid w:val="007C7A81"/>
    <w:rsid w:val="007D592D"/>
    <w:rsid w:val="007E2438"/>
    <w:rsid w:val="007F0D8A"/>
    <w:rsid w:val="007F5E78"/>
    <w:rsid w:val="007F654C"/>
    <w:rsid w:val="00803864"/>
    <w:rsid w:val="00805C00"/>
    <w:rsid w:val="00820844"/>
    <w:rsid w:val="00824D51"/>
    <w:rsid w:val="00827BF0"/>
    <w:rsid w:val="00827DBA"/>
    <w:rsid w:val="008304DD"/>
    <w:rsid w:val="00832E26"/>
    <w:rsid w:val="0083632F"/>
    <w:rsid w:val="0084351C"/>
    <w:rsid w:val="008544B8"/>
    <w:rsid w:val="00856316"/>
    <w:rsid w:val="00872FE2"/>
    <w:rsid w:val="00873CB1"/>
    <w:rsid w:val="00873D0F"/>
    <w:rsid w:val="00881A72"/>
    <w:rsid w:val="00883029"/>
    <w:rsid w:val="00890606"/>
    <w:rsid w:val="008A309C"/>
    <w:rsid w:val="008B7524"/>
    <w:rsid w:val="008C05F0"/>
    <w:rsid w:val="008C7EBE"/>
    <w:rsid w:val="008D1386"/>
    <w:rsid w:val="008E3424"/>
    <w:rsid w:val="008E7472"/>
    <w:rsid w:val="008F127C"/>
    <w:rsid w:val="008F7E6C"/>
    <w:rsid w:val="00901949"/>
    <w:rsid w:val="009139F6"/>
    <w:rsid w:val="0093638E"/>
    <w:rsid w:val="009438C5"/>
    <w:rsid w:val="009468DE"/>
    <w:rsid w:val="00952736"/>
    <w:rsid w:val="00952F56"/>
    <w:rsid w:val="0095396F"/>
    <w:rsid w:val="0096229D"/>
    <w:rsid w:val="00971B54"/>
    <w:rsid w:val="00992BE0"/>
    <w:rsid w:val="009A1AAA"/>
    <w:rsid w:val="009A31C0"/>
    <w:rsid w:val="009A46A0"/>
    <w:rsid w:val="009A471F"/>
    <w:rsid w:val="009B679C"/>
    <w:rsid w:val="009D1812"/>
    <w:rsid w:val="009D43AD"/>
    <w:rsid w:val="009D6B51"/>
    <w:rsid w:val="009F0302"/>
    <w:rsid w:val="00A03346"/>
    <w:rsid w:val="00A0370A"/>
    <w:rsid w:val="00A06945"/>
    <w:rsid w:val="00A10E32"/>
    <w:rsid w:val="00A17676"/>
    <w:rsid w:val="00A20114"/>
    <w:rsid w:val="00A23AC9"/>
    <w:rsid w:val="00A249EC"/>
    <w:rsid w:val="00A27C79"/>
    <w:rsid w:val="00A32131"/>
    <w:rsid w:val="00A33B4D"/>
    <w:rsid w:val="00A34EBB"/>
    <w:rsid w:val="00A44D52"/>
    <w:rsid w:val="00A51E20"/>
    <w:rsid w:val="00A52D04"/>
    <w:rsid w:val="00A638FF"/>
    <w:rsid w:val="00A63AD7"/>
    <w:rsid w:val="00A67B77"/>
    <w:rsid w:val="00A84990"/>
    <w:rsid w:val="00A8714C"/>
    <w:rsid w:val="00A87189"/>
    <w:rsid w:val="00A87AF1"/>
    <w:rsid w:val="00A907A9"/>
    <w:rsid w:val="00A978AB"/>
    <w:rsid w:val="00AA0CB3"/>
    <w:rsid w:val="00AA0F25"/>
    <w:rsid w:val="00AA2EBC"/>
    <w:rsid w:val="00AB1A3E"/>
    <w:rsid w:val="00AC22A4"/>
    <w:rsid w:val="00AD7E90"/>
    <w:rsid w:val="00B1528A"/>
    <w:rsid w:val="00B168FC"/>
    <w:rsid w:val="00B30BEB"/>
    <w:rsid w:val="00B36FE0"/>
    <w:rsid w:val="00B510AB"/>
    <w:rsid w:val="00B60316"/>
    <w:rsid w:val="00B61640"/>
    <w:rsid w:val="00B74D45"/>
    <w:rsid w:val="00B750DA"/>
    <w:rsid w:val="00B87CAD"/>
    <w:rsid w:val="00B90DD0"/>
    <w:rsid w:val="00B97BC5"/>
    <w:rsid w:val="00BA0AFD"/>
    <w:rsid w:val="00BA21E8"/>
    <w:rsid w:val="00BB0628"/>
    <w:rsid w:val="00BB74CF"/>
    <w:rsid w:val="00BC45E5"/>
    <w:rsid w:val="00BD3A00"/>
    <w:rsid w:val="00BD5C0E"/>
    <w:rsid w:val="00BE2695"/>
    <w:rsid w:val="00BE3FD2"/>
    <w:rsid w:val="00BF42B3"/>
    <w:rsid w:val="00BF4F52"/>
    <w:rsid w:val="00C15556"/>
    <w:rsid w:val="00C20A1F"/>
    <w:rsid w:val="00C2323D"/>
    <w:rsid w:val="00C23FBF"/>
    <w:rsid w:val="00C246AD"/>
    <w:rsid w:val="00C26F04"/>
    <w:rsid w:val="00C470EC"/>
    <w:rsid w:val="00C545FC"/>
    <w:rsid w:val="00C55919"/>
    <w:rsid w:val="00C568C7"/>
    <w:rsid w:val="00C574BD"/>
    <w:rsid w:val="00C57997"/>
    <w:rsid w:val="00C61B26"/>
    <w:rsid w:val="00C77FE8"/>
    <w:rsid w:val="00C87C2C"/>
    <w:rsid w:val="00C970D0"/>
    <w:rsid w:val="00CA5D25"/>
    <w:rsid w:val="00CC1740"/>
    <w:rsid w:val="00CC4D97"/>
    <w:rsid w:val="00CC7851"/>
    <w:rsid w:val="00CD129B"/>
    <w:rsid w:val="00CD7D2A"/>
    <w:rsid w:val="00CE7E71"/>
    <w:rsid w:val="00CF0F02"/>
    <w:rsid w:val="00CF1FF8"/>
    <w:rsid w:val="00D0133A"/>
    <w:rsid w:val="00D01BCC"/>
    <w:rsid w:val="00D01C65"/>
    <w:rsid w:val="00D052C3"/>
    <w:rsid w:val="00D14109"/>
    <w:rsid w:val="00D21974"/>
    <w:rsid w:val="00D21AD6"/>
    <w:rsid w:val="00D673E9"/>
    <w:rsid w:val="00D714E4"/>
    <w:rsid w:val="00D74934"/>
    <w:rsid w:val="00D775EF"/>
    <w:rsid w:val="00D863BB"/>
    <w:rsid w:val="00D86DBB"/>
    <w:rsid w:val="00D90412"/>
    <w:rsid w:val="00DB054C"/>
    <w:rsid w:val="00DB5305"/>
    <w:rsid w:val="00DB657B"/>
    <w:rsid w:val="00DC4BDA"/>
    <w:rsid w:val="00DD3803"/>
    <w:rsid w:val="00DE6855"/>
    <w:rsid w:val="00DE7601"/>
    <w:rsid w:val="00E024DA"/>
    <w:rsid w:val="00E10B15"/>
    <w:rsid w:val="00E11A29"/>
    <w:rsid w:val="00E1368E"/>
    <w:rsid w:val="00E13710"/>
    <w:rsid w:val="00E23535"/>
    <w:rsid w:val="00E24E2B"/>
    <w:rsid w:val="00E32F44"/>
    <w:rsid w:val="00E41379"/>
    <w:rsid w:val="00E4380B"/>
    <w:rsid w:val="00E45DBE"/>
    <w:rsid w:val="00E55E0F"/>
    <w:rsid w:val="00E64FDF"/>
    <w:rsid w:val="00E67E65"/>
    <w:rsid w:val="00E8466D"/>
    <w:rsid w:val="00E86380"/>
    <w:rsid w:val="00E9255A"/>
    <w:rsid w:val="00E92711"/>
    <w:rsid w:val="00E972CE"/>
    <w:rsid w:val="00EA164B"/>
    <w:rsid w:val="00EB4CFF"/>
    <w:rsid w:val="00EC384F"/>
    <w:rsid w:val="00ED0C17"/>
    <w:rsid w:val="00ED14BA"/>
    <w:rsid w:val="00ED19A8"/>
    <w:rsid w:val="00EE1677"/>
    <w:rsid w:val="00EE6DC2"/>
    <w:rsid w:val="00EE721C"/>
    <w:rsid w:val="00EF3A19"/>
    <w:rsid w:val="00EF4C35"/>
    <w:rsid w:val="00EF55A6"/>
    <w:rsid w:val="00F210CE"/>
    <w:rsid w:val="00F233E3"/>
    <w:rsid w:val="00F23DF1"/>
    <w:rsid w:val="00F26C0A"/>
    <w:rsid w:val="00F37911"/>
    <w:rsid w:val="00F449A8"/>
    <w:rsid w:val="00F45481"/>
    <w:rsid w:val="00F524FF"/>
    <w:rsid w:val="00F526B8"/>
    <w:rsid w:val="00F6622E"/>
    <w:rsid w:val="00F8222C"/>
    <w:rsid w:val="00F83F2F"/>
    <w:rsid w:val="00F95A70"/>
    <w:rsid w:val="00F97C60"/>
    <w:rsid w:val="00FA65A8"/>
    <w:rsid w:val="00FA6DC6"/>
    <w:rsid w:val="00FA78C6"/>
    <w:rsid w:val="00FD3784"/>
    <w:rsid w:val="00FF0AFB"/>
    <w:rsid w:val="00FF5AF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2DCF0"/>
  <w15:docId w15:val="{2919AF15-B7D1-4B1B-9BA8-914DA75A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78"/>
    <w:pPr>
      <w:spacing w:after="0" w:line="240" w:lineRule="auto"/>
    </w:pPr>
    <w:rPr>
      <w:rFonts w:ascii="Times New Roman" w:eastAsia="Times New Roman" w:hAnsi="Times New Roman" w:cs="Times New Roman"/>
      <w:sz w:val="24"/>
      <w:szCs w:val="24"/>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0725E"/>
    <w:pPr>
      <w:tabs>
        <w:tab w:val="center" w:pos="4536"/>
        <w:tab w:val="right" w:pos="9072"/>
      </w:tabs>
    </w:pPr>
    <w:rPr>
      <w:lang w:val="en-GB"/>
    </w:rPr>
  </w:style>
  <w:style w:type="character" w:customStyle="1" w:styleId="a4">
    <w:name w:val="フッター (文字)"/>
    <w:basedOn w:val="a0"/>
    <w:link w:val="a3"/>
    <w:semiHidden/>
    <w:rsid w:val="0000725E"/>
    <w:rPr>
      <w:rFonts w:ascii="Times New Roman" w:eastAsia="Times New Roman" w:hAnsi="Times New Roman" w:cs="Times New Roman"/>
      <w:sz w:val="24"/>
      <w:szCs w:val="24"/>
      <w:lang w:val="en-GB" w:eastAsia="cs-CZ"/>
    </w:rPr>
  </w:style>
  <w:style w:type="character" w:styleId="a5">
    <w:name w:val="Hyperlink"/>
    <w:uiPriority w:val="99"/>
    <w:semiHidden/>
    <w:rsid w:val="00A23AC9"/>
    <w:rPr>
      <w:color w:val="0000FF"/>
      <w:u w:val="single"/>
    </w:rPr>
  </w:style>
  <w:style w:type="paragraph" w:customStyle="1" w:styleId="Default">
    <w:name w:val="Default"/>
    <w:rsid w:val="0022772F"/>
    <w:pPr>
      <w:autoSpaceDE w:val="0"/>
      <w:autoSpaceDN w:val="0"/>
      <w:adjustRightInd w:val="0"/>
      <w:spacing w:after="0" w:line="240" w:lineRule="auto"/>
    </w:pPr>
    <w:rPr>
      <w:rFonts w:ascii="Calibri" w:hAnsi="Calibri" w:cs="Calibri"/>
      <w:color w:val="000000"/>
      <w:sz w:val="24"/>
      <w:szCs w:val="24"/>
    </w:rPr>
  </w:style>
  <w:style w:type="character" w:styleId="a6">
    <w:name w:val="FollowedHyperlink"/>
    <w:semiHidden/>
    <w:rsid w:val="003150EC"/>
    <w:rPr>
      <w:color w:val="800080"/>
      <w:u w:val="single"/>
    </w:rPr>
  </w:style>
  <w:style w:type="table" w:styleId="a7">
    <w:name w:val="Table Grid"/>
    <w:basedOn w:val="a1"/>
    <w:uiPriority w:val="39"/>
    <w:rsid w:val="003C30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7997"/>
    <w:pPr>
      <w:spacing w:before="100" w:beforeAutospacing="1" w:after="100" w:afterAutospacing="1"/>
    </w:pPr>
    <w:rPr>
      <w:lang w:val="en-US" w:eastAsia="ja-JP"/>
    </w:rPr>
  </w:style>
  <w:style w:type="paragraph" w:styleId="a8">
    <w:name w:val="List Paragraph"/>
    <w:basedOn w:val="a"/>
    <w:uiPriority w:val="34"/>
    <w:qFormat/>
    <w:rsid w:val="003201FE"/>
    <w:pPr>
      <w:ind w:left="720"/>
      <w:contextualSpacing/>
    </w:pPr>
  </w:style>
  <w:style w:type="table" w:customStyle="1" w:styleId="TableGrid1">
    <w:name w:val="Table Grid1"/>
    <w:basedOn w:val="a1"/>
    <w:next w:val="a7"/>
    <w:uiPriority w:val="39"/>
    <w:rsid w:val="00832E26"/>
    <w:pPr>
      <w:spacing w:after="0" w:line="240" w:lineRule="auto"/>
    </w:pPr>
    <w:rPr>
      <w:rFonts w:eastAsia="ＭＳ 明朝"/>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61B26"/>
    <w:pPr>
      <w:tabs>
        <w:tab w:val="center" w:pos="4680"/>
        <w:tab w:val="right" w:pos="9360"/>
      </w:tabs>
    </w:pPr>
  </w:style>
  <w:style w:type="character" w:customStyle="1" w:styleId="aa">
    <w:name w:val="ヘッダー (文字)"/>
    <w:basedOn w:val="a0"/>
    <w:link w:val="a9"/>
    <w:uiPriority w:val="99"/>
    <w:rsid w:val="00C61B2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208">
      <w:bodyDiv w:val="1"/>
      <w:marLeft w:val="0"/>
      <w:marRight w:val="0"/>
      <w:marTop w:val="0"/>
      <w:marBottom w:val="0"/>
      <w:divBdr>
        <w:top w:val="none" w:sz="0" w:space="0" w:color="auto"/>
        <w:left w:val="none" w:sz="0" w:space="0" w:color="auto"/>
        <w:bottom w:val="none" w:sz="0" w:space="0" w:color="auto"/>
        <w:right w:val="none" w:sz="0" w:space="0" w:color="auto"/>
      </w:divBdr>
    </w:div>
    <w:div w:id="158927173">
      <w:bodyDiv w:val="1"/>
      <w:marLeft w:val="0"/>
      <w:marRight w:val="0"/>
      <w:marTop w:val="0"/>
      <w:marBottom w:val="0"/>
      <w:divBdr>
        <w:top w:val="none" w:sz="0" w:space="0" w:color="auto"/>
        <w:left w:val="none" w:sz="0" w:space="0" w:color="auto"/>
        <w:bottom w:val="none" w:sz="0" w:space="0" w:color="auto"/>
        <w:right w:val="none" w:sz="0" w:space="0" w:color="auto"/>
      </w:divBdr>
    </w:div>
    <w:div w:id="204603461">
      <w:bodyDiv w:val="1"/>
      <w:marLeft w:val="0"/>
      <w:marRight w:val="0"/>
      <w:marTop w:val="0"/>
      <w:marBottom w:val="0"/>
      <w:divBdr>
        <w:top w:val="none" w:sz="0" w:space="0" w:color="auto"/>
        <w:left w:val="none" w:sz="0" w:space="0" w:color="auto"/>
        <w:bottom w:val="none" w:sz="0" w:space="0" w:color="auto"/>
        <w:right w:val="none" w:sz="0" w:space="0" w:color="auto"/>
      </w:divBdr>
    </w:div>
    <w:div w:id="344676688">
      <w:bodyDiv w:val="1"/>
      <w:marLeft w:val="0"/>
      <w:marRight w:val="0"/>
      <w:marTop w:val="0"/>
      <w:marBottom w:val="0"/>
      <w:divBdr>
        <w:top w:val="none" w:sz="0" w:space="0" w:color="auto"/>
        <w:left w:val="none" w:sz="0" w:space="0" w:color="auto"/>
        <w:bottom w:val="none" w:sz="0" w:space="0" w:color="auto"/>
        <w:right w:val="none" w:sz="0" w:space="0" w:color="auto"/>
      </w:divBdr>
    </w:div>
    <w:div w:id="456408571">
      <w:bodyDiv w:val="1"/>
      <w:marLeft w:val="0"/>
      <w:marRight w:val="0"/>
      <w:marTop w:val="0"/>
      <w:marBottom w:val="0"/>
      <w:divBdr>
        <w:top w:val="none" w:sz="0" w:space="0" w:color="auto"/>
        <w:left w:val="none" w:sz="0" w:space="0" w:color="auto"/>
        <w:bottom w:val="none" w:sz="0" w:space="0" w:color="auto"/>
        <w:right w:val="none" w:sz="0" w:space="0" w:color="auto"/>
      </w:divBdr>
    </w:div>
    <w:div w:id="486170602">
      <w:bodyDiv w:val="1"/>
      <w:marLeft w:val="0"/>
      <w:marRight w:val="0"/>
      <w:marTop w:val="0"/>
      <w:marBottom w:val="0"/>
      <w:divBdr>
        <w:top w:val="none" w:sz="0" w:space="0" w:color="auto"/>
        <w:left w:val="none" w:sz="0" w:space="0" w:color="auto"/>
        <w:bottom w:val="none" w:sz="0" w:space="0" w:color="auto"/>
        <w:right w:val="none" w:sz="0" w:space="0" w:color="auto"/>
      </w:divBdr>
    </w:div>
    <w:div w:id="507061060">
      <w:bodyDiv w:val="1"/>
      <w:marLeft w:val="0"/>
      <w:marRight w:val="0"/>
      <w:marTop w:val="0"/>
      <w:marBottom w:val="0"/>
      <w:divBdr>
        <w:top w:val="none" w:sz="0" w:space="0" w:color="auto"/>
        <w:left w:val="none" w:sz="0" w:space="0" w:color="auto"/>
        <w:bottom w:val="none" w:sz="0" w:space="0" w:color="auto"/>
        <w:right w:val="none" w:sz="0" w:space="0" w:color="auto"/>
      </w:divBdr>
    </w:div>
    <w:div w:id="552891054">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
    <w:div w:id="1010447511">
      <w:bodyDiv w:val="1"/>
      <w:marLeft w:val="0"/>
      <w:marRight w:val="0"/>
      <w:marTop w:val="0"/>
      <w:marBottom w:val="0"/>
      <w:divBdr>
        <w:top w:val="none" w:sz="0" w:space="0" w:color="auto"/>
        <w:left w:val="none" w:sz="0" w:space="0" w:color="auto"/>
        <w:bottom w:val="none" w:sz="0" w:space="0" w:color="auto"/>
        <w:right w:val="none" w:sz="0" w:space="0" w:color="auto"/>
      </w:divBdr>
    </w:div>
    <w:div w:id="1016080721">
      <w:bodyDiv w:val="1"/>
      <w:marLeft w:val="0"/>
      <w:marRight w:val="0"/>
      <w:marTop w:val="0"/>
      <w:marBottom w:val="0"/>
      <w:divBdr>
        <w:top w:val="none" w:sz="0" w:space="0" w:color="auto"/>
        <w:left w:val="none" w:sz="0" w:space="0" w:color="auto"/>
        <w:bottom w:val="none" w:sz="0" w:space="0" w:color="auto"/>
        <w:right w:val="none" w:sz="0" w:space="0" w:color="auto"/>
      </w:divBdr>
    </w:div>
    <w:div w:id="1023359339">
      <w:bodyDiv w:val="1"/>
      <w:marLeft w:val="0"/>
      <w:marRight w:val="0"/>
      <w:marTop w:val="0"/>
      <w:marBottom w:val="0"/>
      <w:divBdr>
        <w:top w:val="none" w:sz="0" w:space="0" w:color="auto"/>
        <w:left w:val="none" w:sz="0" w:space="0" w:color="auto"/>
        <w:bottom w:val="none" w:sz="0" w:space="0" w:color="auto"/>
        <w:right w:val="none" w:sz="0" w:space="0" w:color="auto"/>
      </w:divBdr>
    </w:div>
    <w:div w:id="1207831984">
      <w:bodyDiv w:val="1"/>
      <w:marLeft w:val="0"/>
      <w:marRight w:val="0"/>
      <w:marTop w:val="0"/>
      <w:marBottom w:val="0"/>
      <w:divBdr>
        <w:top w:val="none" w:sz="0" w:space="0" w:color="auto"/>
        <w:left w:val="none" w:sz="0" w:space="0" w:color="auto"/>
        <w:bottom w:val="none" w:sz="0" w:space="0" w:color="auto"/>
        <w:right w:val="none" w:sz="0" w:space="0" w:color="auto"/>
      </w:divBdr>
    </w:div>
    <w:div w:id="1218781120">
      <w:bodyDiv w:val="1"/>
      <w:marLeft w:val="0"/>
      <w:marRight w:val="0"/>
      <w:marTop w:val="0"/>
      <w:marBottom w:val="0"/>
      <w:divBdr>
        <w:top w:val="none" w:sz="0" w:space="0" w:color="auto"/>
        <w:left w:val="none" w:sz="0" w:space="0" w:color="auto"/>
        <w:bottom w:val="none" w:sz="0" w:space="0" w:color="auto"/>
        <w:right w:val="none" w:sz="0" w:space="0" w:color="auto"/>
      </w:divBdr>
    </w:div>
    <w:div w:id="1502543943">
      <w:bodyDiv w:val="1"/>
      <w:marLeft w:val="0"/>
      <w:marRight w:val="0"/>
      <w:marTop w:val="0"/>
      <w:marBottom w:val="0"/>
      <w:divBdr>
        <w:top w:val="none" w:sz="0" w:space="0" w:color="auto"/>
        <w:left w:val="none" w:sz="0" w:space="0" w:color="auto"/>
        <w:bottom w:val="none" w:sz="0" w:space="0" w:color="auto"/>
        <w:right w:val="none" w:sz="0" w:space="0" w:color="auto"/>
      </w:divBdr>
    </w:div>
    <w:div w:id="1509522224">
      <w:bodyDiv w:val="1"/>
      <w:marLeft w:val="0"/>
      <w:marRight w:val="0"/>
      <w:marTop w:val="0"/>
      <w:marBottom w:val="0"/>
      <w:divBdr>
        <w:top w:val="none" w:sz="0" w:space="0" w:color="auto"/>
        <w:left w:val="none" w:sz="0" w:space="0" w:color="auto"/>
        <w:bottom w:val="none" w:sz="0" w:space="0" w:color="auto"/>
        <w:right w:val="none" w:sz="0" w:space="0" w:color="auto"/>
      </w:divBdr>
    </w:div>
    <w:div w:id="1655796085">
      <w:bodyDiv w:val="1"/>
      <w:marLeft w:val="0"/>
      <w:marRight w:val="0"/>
      <w:marTop w:val="0"/>
      <w:marBottom w:val="0"/>
      <w:divBdr>
        <w:top w:val="none" w:sz="0" w:space="0" w:color="auto"/>
        <w:left w:val="none" w:sz="0" w:space="0" w:color="auto"/>
        <w:bottom w:val="none" w:sz="0" w:space="0" w:color="auto"/>
        <w:right w:val="none" w:sz="0" w:space="0" w:color="auto"/>
      </w:divBdr>
    </w:div>
    <w:div w:id="1743409181">
      <w:bodyDiv w:val="1"/>
      <w:marLeft w:val="0"/>
      <w:marRight w:val="0"/>
      <w:marTop w:val="0"/>
      <w:marBottom w:val="0"/>
      <w:divBdr>
        <w:top w:val="none" w:sz="0" w:space="0" w:color="auto"/>
        <w:left w:val="none" w:sz="0" w:space="0" w:color="auto"/>
        <w:bottom w:val="none" w:sz="0" w:space="0" w:color="auto"/>
        <w:right w:val="none" w:sz="0" w:space="0" w:color="auto"/>
      </w:divBdr>
    </w:div>
    <w:div w:id="2018851018">
      <w:bodyDiv w:val="1"/>
      <w:marLeft w:val="0"/>
      <w:marRight w:val="0"/>
      <w:marTop w:val="0"/>
      <w:marBottom w:val="0"/>
      <w:divBdr>
        <w:top w:val="none" w:sz="0" w:space="0" w:color="auto"/>
        <w:left w:val="none" w:sz="0" w:space="0" w:color="auto"/>
        <w:bottom w:val="none" w:sz="0" w:space="0" w:color="auto"/>
        <w:right w:val="none" w:sz="0" w:space="0" w:color="auto"/>
      </w:divBdr>
    </w:div>
    <w:div w:id="202062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A943-2F2F-4DD1-B409-A51E3EED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2736</Words>
  <Characters>15599</Characters>
  <Application>Microsoft Office Word</Application>
  <DocSecurity>0</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Nemcova</dc:creator>
  <cp:keywords/>
  <dc:description/>
  <cp:lastModifiedBy>妹尾 昌治</cp:lastModifiedBy>
  <cp:revision>7</cp:revision>
  <cp:lastPrinted>2021-05-28T13:14:00Z</cp:lastPrinted>
  <dcterms:created xsi:type="dcterms:W3CDTF">2021-08-19T10:10:00Z</dcterms:created>
  <dcterms:modified xsi:type="dcterms:W3CDTF">2021-10-20T07:59:00Z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http://www.zotero.org/styles/cancer-letters</vt:lpwstr>
  </property>
  <property fmtid="{D5CDD505-2E9C-101B-9397-08002B2CF9AE}" pid="13" name="Mendeley Recent Style Name 5_1">
    <vt:lpwstr>Cancer Letters</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http://www.zotero.org/styles/molecular-medicine-reports</vt:lpwstr>
  </property>
  <property fmtid="{D5CDD505-2E9C-101B-9397-08002B2CF9AE}" pid="19" name="Mendeley Recent Style Name 8_1">
    <vt:lpwstr>Molecular Medicine Reports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fa8c0f01-9135-3fab-b12b-bb3722e1ba10</vt:lpwstr>
  </property>
  <property fmtid="{D5CDD505-2E9C-101B-9397-08002B2CF9AE}" pid="24" name="Mendeley Citation Style_1">
    <vt:lpwstr>http://www.zotero.org/styles/apa</vt:lpwstr>
  </property>
</Properties>
</file>